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竞争性磋商文件</w:t>
      </w:r>
      <w:r/>
    </w:p>
    <w:p>
      <w:pPr>
        <w:pStyle w:val="953"/>
        <w:ind w:firstLine="1375"/>
        <w:rPr>
          <w:b/>
          <w:bCs/>
          <w:color w:val="000000"/>
          <w:sz w:val="32"/>
        </w:rPr>
      </w:pPr>
      <w:r>
        <w:rPr>
          <w:rFonts w:hint="eastAsia"/>
          <w:b/>
          <w:bCs/>
          <w:color w:val="000000"/>
          <w:sz w:val="32"/>
        </w:rPr>
        <w:t xml:space="preserve">项目名称：</w:t>
      </w:r>
      <w:r>
        <w:rPr>
          <w:rFonts w:hint="eastAsia"/>
          <w:b/>
          <w:bCs/>
          <w:color w:val="000000"/>
          <w:sz w:val="32"/>
          <w:lang w:eastAsia="zh-CN"/>
        </w:rPr>
        <w:t xml:space="preserve">兴化市县域水资源管理规范化建设</w:t>
      </w:r>
      <w:r>
        <w:rPr>
          <w:rFonts w:hint="eastAsia"/>
          <w:b/>
          <w:bCs/>
          <w:color w:val="000000"/>
          <w:sz w:val="32"/>
        </w:rPr>
        <w:t xml:space="preserve">项目</w:t>
      </w:r>
      <w:r/>
    </w:p>
    <w:p>
      <w:pPr>
        <w:ind w:firstLine="1285"/>
        <w:rPr>
          <w:rFonts w:hint="default" w:eastAsia="宋体"/>
          <w:b/>
          <w:color w:val="000000"/>
          <w:sz w:val="30"/>
          <w:szCs w:val="30"/>
          <w:lang w:val="en-US" w:eastAsia="zh-CN"/>
        </w:rPr>
      </w:pPr>
      <w:r>
        <w:rPr>
          <w:rFonts w:hint="eastAsia"/>
          <w:b/>
          <w:bCs/>
          <w:color w:val="000000"/>
          <w:sz w:val="32"/>
        </w:rPr>
        <w:t xml:space="preserve">项目编</w:t>
      </w:r>
      <w:r>
        <w:rPr>
          <w:rFonts w:hint="eastAsia" w:ascii="Arial" w:hAnsi="Arial"/>
          <w:b/>
          <w:bCs/>
          <w:color w:val="000000"/>
          <w:sz w:val="32"/>
          <w:szCs w:val="24"/>
        </w:rPr>
        <w:t xml:space="preserve">号：</w:t>
      </w:r>
      <w:r>
        <w:rPr>
          <w:rFonts w:ascii="Arial" w:hAnsi="Arial"/>
          <w:b/>
          <w:bCs/>
          <w:color w:val="000000"/>
          <w:sz w:val="32"/>
          <w:szCs w:val="24"/>
        </w:rPr>
        <w:t xml:space="preserve">JSZC-321281-XCDL-C202</w:t>
      </w:r>
      <w:r>
        <w:rPr>
          <w:rFonts w:hint="eastAsia" w:ascii="Arial" w:hAnsi="Arial"/>
          <w:b/>
          <w:bCs/>
          <w:color w:val="000000"/>
          <w:sz w:val="32"/>
          <w:szCs w:val="24"/>
          <w:lang w:val="en-US" w:eastAsia="zh-CN"/>
        </w:rPr>
        <w:t xml:space="preserve">5</w:t>
      </w:r>
      <w:r>
        <w:rPr>
          <w:rFonts w:ascii="Arial" w:hAnsi="Arial"/>
          <w:b/>
          <w:bCs/>
          <w:color w:val="000000"/>
          <w:sz w:val="32"/>
          <w:szCs w:val="24"/>
        </w:rPr>
        <w:t xml:space="preserve">-00</w:t>
      </w:r>
      <w:r>
        <w:rPr>
          <w:rFonts w:hint="eastAsia" w:ascii="Arial" w:hAnsi="Arial"/>
          <w:b/>
          <w:bCs/>
          <w:color w:val="000000"/>
          <w:sz w:val="32"/>
          <w:szCs w:val="24"/>
          <w:lang w:val="en-US" w:eastAsia="zh-CN"/>
        </w:rPr>
        <w:t xml:space="preserve">02 </w:t>
      </w:r>
      <w:r/>
    </w:p>
    <w:p>
      <w:pPr>
        <w:ind w:left="2811" w:hanging="2811"/>
        <w:rPr>
          <w:b/>
          <w:color w:val="000000"/>
          <w:sz w:val="28"/>
          <w:szCs w:val="28"/>
        </w:rPr>
      </w:pPr>
      <w:r>
        <w:rPr>
          <w:b/>
          <w:color w:val="000000"/>
          <w:sz w:val="28"/>
          <w:szCs w:val="28"/>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jc w:val="center"/>
        <w:rPr>
          <w:b/>
          <w:bCs/>
          <w:color w:val="000000"/>
          <w:sz w:val="32"/>
        </w:rPr>
      </w:pPr>
      <w:r>
        <w:rPr>
          <w:rFonts w:hint="eastAsia"/>
          <w:b/>
          <w:bCs/>
          <w:color w:val="000000"/>
          <w:sz w:val="32"/>
        </w:rPr>
        <w:t xml:space="preserve">泰州信诚招标代理有限公司</w:t>
      </w:r>
      <w:r/>
    </w:p>
    <w:p>
      <w:pPr>
        <w:pStyle w:val="953"/>
        <w:ind w:firstLine="0"/>
        <w:jc w:val="center"/>
        <w:rPr>
          <w:b/>
          <w:bCs/>
          <w:color w:val="000000"/>
          <w:sz w:val="32"/>
        </w:rPr>
      </w:pPr>
      <w:r>
        <w:rPr>
          <w:rFonts w:hint="eastAsia"/>
          <w:b/>
          <w:bCs/>
          <w:color w:val="000000"/>
          <w:sz w:val="32"/>
        </w:rPr>
        <w:t xml:space="preserve">202</w:t>
      </w:r>
      <w:r>
        <w:rPr>
          <w:rFonts w:hint="eastAsia"/>
          <w:b/>
          <w:bCs/>
          <w:color w:val="000000"/>
          <w:sz w:val="32"/>
          <w:lang w:val="en-US" w:eastAsia="zh-CN"/>
        </w:rPr>
        <w:t xml:space="preserve">5</w:t>
      </w:r>
      <w:r>
        <w:rPr>
          <w:rFonts w:hint="eastAsia"/>
          <w:b/>
          <w:bCs/>
          <w:color w:val="000000"/>
          <w:sz w:val="32"/>
        </w:rPr>
        <w:t xml:space="preserve">年</w:t>
      </w:r>
      <w:r>
        <w:rPr>
          <w:rFonts w:hint="eastAsia"/>
          <w:b/>
          <w:bCs/>
          <w:color w:val="000000"/>
          <w:sz w:val="32"/>
          <w:lang w:val="en-US" w:eastAsia="zh-CN"/>
        </w:rPr>
        <w:t xml:space="preserve">12</w:t>
      </w:r>
      <w:r>
        <w:rPr>
          <w:rFonts w:hint="eastAsia"/>
          <w:b/>
          <w:bCs/>
          <w:color w:val="000000"/>
          <w:sz w:val="32"/>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磋商邀请</w:t>
      </w:r>
      <w:r>
        <w:rPr>
          <w:rFonts w:hint="eastAsia" w:ascii="黑体" w:hAnsi="Showcard Gothic" w:eastAsia="黑体"/>
          <w:color w:val="000000"/>
          <w:sz w:val="36"/>
          <w:szCs w:val="21"/>
        </w:rPr>
        <w:t xml:space="preserve">……………………………………2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……………………………………18</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……………………………………21</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szCs w:val="21"/>
        </w:rPr>
        <w:t xml:space="preserve">………………………49</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………………………………54</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rPr>
          <w:rFonts w:hint="eastAsia" w:ascii="Times New Roman" w:hAnsi="Times New Roman"/>
          <w:color w:val="000000"/>
          <w:sz w:val="36"/>
          <w:szCs w:val="36"/>
        </w:rPr>
      </w:pPr>
      <w:r>
        <w:rPr>
          <w:rFonts w:hint="eastAsia" w:ascii="Times New Roman" w:hAnsi="Times New Roman"/>
          <w:color w:val="000000"/>
          <w:sz w:val="36"/>
          <w:szCs w:val="36"/>
        </w:rPr>
        <w:t xml:space="preserve">兴化市</w:t>
      </w:r>
      <w:r>
        <w:rPr>
          <w:rFonts w:ascii="Times New Roman" w:hAnsi="Times New Roman"/>
          <w:color w:val="000000"/>
          <w:sz w:val="36"/>
          <w:szCs w:val="36"/>
        </w:rPr>
        <w:t xml:space="preserve">政府采购</w:t>
      </w:r>
      <w:r>
        <w:rPr>
          <w:rFonts w:hint="eastAsia" w:ascii="Times New Roman" w:hAnsi="Times New Roman"/>
          <w:color w:val="000000"/>
          <w:sz w:val="36"/>
          <w:szCs w:val="36"/>
        </w:rPr>
        <w:t xml:space="preserve">不见面交易相关提醒</w:t>
      </w:r>
      <w:r/>
    </w:p>
    <w:p>
      <w:pPr>
        <w:jc w:val="center"/>
        <w:rPr>
          <w:rFonts w:hint="eastAsia" w:ascii="Times New Roman" w:hAnsi="Times New Roman"/>
          <w:color w:val="000000"/>
          <w:sz w:val="36"/>
          <w:szCs w:val="36"/>
        </w:rPr>
      </w:pPr>
      <w:r>
        <w:rPr>
          <w:rFonts w:hint="eastAsia" w:ascii="Times New Roman" w:hAnsi="Times New Roman"/>
          <w:color w:val="000000"/>
          <w:sz w:val="36"/>
          <w:szCs w:val="36"/>
        </w:rPr>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一、政府采购线上合同信用融资功能告知提醒</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今年我市已正式启用“苏采云”系统，目前已全面开通政府采购线上合同信用融资（以下简称“政采贷”）功能。成交供应商可凭政府采购合同在中征平台发起贷款申请贷款。</w:t>
      </w:r>
      <w:r/>
    </w:p>
    <w:p>
      <w:pPr>
        <w:keepLines w:val="0"/>
        <w:keepNext w:val="0"/>
        <w:pageBreakBefore w:val="0"/>
        <w:spacing w:line="500" w:lineRule="exact"/>
        <w:widowControl w:val="off"/>
        <w:rPr>
          <w:b/>
          <w:bCs/>
        </w:rPr>
      </w:pPr>
      <w:r>
        <w:rPr>
          <w:rFonts w:hint="eastAsia" w:ascii="Times New Roman" w:hAnsi="Times New Roman"/>
          <w:color w:val="000000"/>
          <w:szCs w:val="21"/>
        </w:rPr>
        <w:t xml:space="preserve">1.“政采贷”业务流程</w:t>
      </w:r>
      <w:r/>
    </w:p>
    <w:p>
      <w:pPr>
        <w:pStyle w:val="747"/>
        <w:rPr>
          <w:rFonts w:hint="eastAsia" w:ascii="Times New Roman" w:hAnsi="Times New Roman"/>
          <w:color w:val="000000"/>
          <w:szCs w:val="21"/>
        </w:rPr>
      </w:pPr>
      <w:r>
        <mc:AlternateContent>
          <mc:Choice Requires="wpg">
            <w:drawing>
              <wp:inline xmlns:wp="http://schemas.openxmlformats.org/drawingml/2006/wordprocessingDrawing" distT="0" distB="0" distL="0" distR="0">
                <wp:extent cx="5267325" cy="1552575"/>
                <wp:effectExtent l="0" t="0" r="9525" b="9525"/>
                <wp:docPr id="1"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2"/>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2pt;mso-wrap-distance-left:0.0pt;mso-wrap-distance-top:0.0pt;mso-wrap-distance-right:0.0pt;mso-wrap-distance-bottom:0.0pt;" stroked="f">
                <v:path textboxrect="0,0,0,0"/>
                <v:imagedata r:id="rId12" o:title=""/>
              </v:shape>
            </w:pict>
          </mc:Fallback>
        </mc:AlternateConten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2.操作流程</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3.常见问题</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Q1：哪些企业能申请“政采贷”？</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答：江苏省内采用国库集中支付的政府采购项目的中标供应商，可凭政府采购合同申请"政采贷"。</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Q2：供应商在哪里申请“政采贷”？</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答：中标供应商在“中征应收账款融资服务平台”（简称“中征平台”）上向意向银行发起融资申请</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Q3：中标供应商要注意什么？</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答：中标供应商要加强和采购单位的沟通协调，尽早确定融资需求。需要“政采贷”融资的，政府采购合同付款账号应当空置。</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Q4：采购单位要做什么？</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答：采购单位在“苏采云”系统中公示政府采购合同时，要勾选融资标识，为中标供应商融资提供便利。如后续融资失败，采购单位要及时维护中标供应商相关账号信息，按时支付款项。</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Q5：“政采贷”融资失败怎么办？</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答：经合作银行审核后不予放款，或者贷款审核时间超过10个工作日的，视为融资失败，该项目回到财政预算管理一体化系统中支付资金。融资失败的，无法重新线上申请“政采贷”。</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3.网址及联系方式</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政采贷：</w:t>
      </w:r>
      <w:r>
        <w:rPr>
          <w:rFonts w:ascii="Times New Roman" w:hAnsi="Times New Roman"/>
          <w:color w:val="000000"/>
          <w:szCs w:val="21"/>
        </w:rPr>
        <w:fldChar w:fldCharType="begin"/>
      </w:r>
      <w:r>
        <w:rPr>
          <w:rFonts w:ascii="Times New Roman" w:hAnsi="Times New Roman"/>
          <w:color w:val="000000"/>
          <w:szCs w:val="21"/>
        </w:rPr>
        <w:instrText xml:space="preserve"> HYPERLINK "http://www.ccgp-jiangsu.gov.cn/jiangsu/paying.html" \o "http://www.ccgp-jiangsu.gov.cn/jiangsu/paying.html" </w:instrText>
      </w:r>
      <w:r>
        <w:rPr>
          <w:rFonts w:ascii="Times New Roman" w:hAnsi="Times New Roman"/>
          <w:color w:val="000000"/>
          <w:szCs w:val="21"/>
        </w:rPr>
        <w:fldChar w:fldCharType="separate"/>
      </w:r>
      <w:r>
        <w:rPr>
          <w:rFonts w:hint="eastAsia" w:ascii="Times New Roman" w:hAnsi="Times New Roman"/>
          <w:color w:val="000000"/>
          <w:szCs w:val="21"/>
        </w:rPr>
        <w:t xml:space="preserve">http://www.ccgp-jiangsu.gov.cn/jiangsu/paying.html</w:t>
      </w:r>
      <w:r>
        <w:rPr>
          <w:rFonts w:hint="eastAsia" w:ascii="Times New Roman" w:hAnsi="Times New Roman"/>
          <w:color w:val="000000"/>
          <w:szCs w:val="21"/>
        </w:rPr>
        <w:fldChar w:fldCharType="end"/>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中征平台：</w:t>
      </w:r>
      <w:r>
        <w:rPr>
          <w:rFonts w:ascii="Times New Roman" w:hAnsi="Times New Roman"/>
          <w:color w:val="000000"/>
          <w:szCs w:val="21"/>
        </w:rPr>
        <w:fldChar w:fldCharType="begin"/>
      </w:r>
      <w:r>
        <w:rPr>
          <w:rFonts w:ascii="Times New Roman" w:hAnsi="Times New Roman"/>
          <w:color w:val="000000"/>
          <w:szCs w:val="21"/>
        </w:rPr>
        <w:instrText xml:space="preserve"> HYPERLINK "https://www.crcrfsp.com/" \o "https://www.crcrfsp.com/" </w:instrText>
      </w:r>
      <w:r>
        <w:rPr>
          <w:rFonts w:ascii="Times New Roman" w:hAnsi="Times New Roman"/>
          <w:color w:val="000000"/>
          <w:szCs w:val="21"/>
        </w:rPr>
        <w:fldChar w:fldCharType="separate"/>
      </w:r>
      <w:r>
        <w:rPr>
          <w:rFonts w:hint="eastAsia" w:ascii="Times New Roman" w:hAnsi="Times New Roman"/>
          <w:color w:val="000000"/>
          <w:szCs w:val="21"/>
        </w:rPr>
        <w:t xml:space="preserve">https://www.crcrfsp.com/</w:t>
      </w:r>
      <w:r>
        <w:rPr>
          <w:rFonts w:hint="eastAsia" w:ascii="Times New Roman" w:hAnsi="Times New Roman"/>
          <w:color w:val="000000"/>
          <w:szCs w:val="21"/>
        </w:rPr>
        <w:fldChar w:fldCharType="end"/>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联系人：张女士           联系电话：0523-82020605</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二、不见面交易投标文件制作提交说明</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2.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ascii="Times New Roman" w:hAnsi="Times New Roman"/>
          <w:color w:val="000000"/>
          <w:szCs w:val="21"/>
        </w:rPr>
        <w:fldChar w:fldCharType="begin"/>
      </w:r>
      <w:r>
        <w:rPr>
          <w:rFonts w:ascii="Times New Roman" w:hAnsi="Times New Roman"/>
          <w:color w:val="000000"/>
          <w:szCs w:val="21"/>
        </w:rPr>
        <w:instrText xml:space="preserve"> HYPERLINK "http://czj.taizhou.gov.cn/art/2022/12/9/art_61762_3436049.html" \o "苏采云系统操作手册（供应商）" </w:instrText>
      </w:r>
      <w:r>
        <w:rPr>
          <w:rFonts w:ascii="Times New Roman" w:hAnsi="Times New Roman"/>
          <w:color w:val="000000"/>
          <w:szCs w:val="21"/>
        </w:rPr>
        <w:fldChar w:fldCharType="separate"/>
      </w:r>
      <w:r>
        <w:rPr>
          <w:rFonts w:hint="eastAsia" w:ascii="Times New Roman" w:hAnsi="Times New Roman"/>
          <w:color w:val="000000"/>
          <w:szCs w:val="21"/>
        </w:rPr>
        <w:t xml:space="preserve">苏采云系统操作手册（供应商）</w:t>
      </w:r>
      <w:r>
        <w:rPr>
          <w:rFonts w:hint="eastAsia" w:ascii="Times New Roman" w:hAnsi="Times New Roman"/>
          <w:color w:val="000000"/>
          <w:szCs w:val="21"/>
        </w:rPr>
        <w:fldChar w:fldCharType="end"/>
      </w:r>
      <w:r>
        <w:rPr>
          <w:rFonts w:hint="eastAsia" w:ascii="Times New Roman" w:hAnsi="Times New Roman"/>
          <w:color w:val="000000"/>
          <w:szCs w:val="21"/>
        </w:rPr>
        <w:t xml:space="preserve">”，进行下载。</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fldChar w:fldCharType="begin"/>
      </w:r>
      <w:r>
        <w:rPr>
          <w:rFonts w:ascii="Times New Roman" w:hAnsi="Times New Roman"/>
          <w:color w:val="000000"/>
          <w:szCs w:val="21"/>
        </w:rPr>
        <w:instrText xml:space="preserve"> HYPERLINK "http://czj.taizhou.gov.cn/col/col61762/index.html" \o "http://czj.taizhou.gov.cn/col/col61762/index.html" </w:instrText>
      </w:r>
      <w:r>
        <w:rPr>
          <w:rFonts w:ascii="Times New Roman" w:hAnsi="Times New Roman"/>
          <w:color w:val="000000"/>
          <w:szCs w:val="21"/>
        </w:rPr>
        <w:fldChar w:fldCharType="separate"/>
      </w:r>
      <w:r>
        <w:rPr>
          <w:rFonts w:hint="eastAsia" w:ascii="Times New Roman" w:hAnsi="Times New Roman"/>
          <w:color w:val="000000"/>
          <w:szCs w:val="21"/>
        </w:rPr>
        <w:t xml:space="preserve">http://czj.taizhou.gov.cn/col/col61762/index.html</w:t>
      </w:r>
      <w:r>
        <w:rPr>
          <w:rFonts w:hint="eastAsia" w:ascii="Times New Roman" w:hAnsi="Times New Roman"/>
          <w:color w:val="000000"/>
          <w:szCs w:val="21"/>
        </w:rPr>
        <w:fldChar w:fldCharType="end"/>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3.视频参考资料：http://czj.xz.gov.cn/Home/HomeDetails?type=13&amp;articleid=1d984549-f767-40c7-8647-cbbd55af52da</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技术服务联系电话：0523-82020605，0523-87633965</w:t>
      </w:r>
      <w:r/>
    </w:p>
    <w:p>
      <w:pPr>
        <w:keepLines w:val="0"/>
        <w:keepNext w:val="0"/>
        <w:pageBreakBefore w:val="0"/>
        <w:spacing w:line="500" w:lineRule="exact"/>
        <w:widowControl w:val="off"/>
        <w:rPr>
          <w:rFonts w:ascii="Times New Roman" w:hAnsi="Times New Roman"/>
          <w:color w:val="000000"/>
          <w:szCs w:val="21"/>
        </w:rPr>
      </w:pPr>
      <w:r/>
      <w:bookmarkStart w:id="6" w:name="_Toc103848531"/>
      <w:r/>
      <w:bookmarkStart w:id="7" w:name="_Toc104560842"/>
      <w:r/>
      <w:bookmarkStart w:id="8" w:name="_Toc107246218"/>
      <w:r>
        <w:rPr>
          <w:rFonts w:ascii="Times New Roman" w:hAnsi="Times New Roman"/>
          <w:color w:val="000000"/>
          <w:szCs w:val="21"/>
        </w:rPr>
        <w:t xml:space="preserve">4.</w:t>
      </w:r>
      <w:bookmarkEnd w:id="6"/>
      <w:r>
        <w:rPr>
          <w:rFonts w:hint="eastAsia" w:ascii="Times New Roman" w:hAnsi="Times New Roman"/>
          <w:color w:val="000000"/>
          <w:szCs w:val="21"/>
        </w:rPr>
        <w:t xml:space="preserve">政府采购政策（包括但不限于下列具体政策要求）</w:t>
      </w:r>
      <w:bookmarkEnd w:id="7"/>
      <w:r/>
      <w:bookmarkEnd w:id="8"/>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4.</w:t>
      </w:r>
      <w:r>
        <w:rPr>
          <w:rFonts w:ascii="Times New Roman" w:hAnsi="Times New Roman"/>
          <w:color w:val="000000"/>
          <w:szCs w:val="21"/>
        </w:rPr>
        <w:t xml:space="preserve">1</w:t>
      </w:r>
      <w:r>
        <w:rPr>
          <w:rFonts w:hint="eastAsia" w:ascii="Times New Roman" w:hAnsi="Times New Roman"/>
          <w:color w:val="000000"/>
          <w:szCs w:val="21"/>
        </w:rPr>
        <w:t xml:space="preserve">中小企业、监狱企业及残疾人福利性单位</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4.1.1</w:t>
      </w:r>
      <w:r>
        <w:rPr>
          <w:rFonts w:hint="eastAsia" w:ascii="Times New Roman" w:hAnsi="Times New Roman"/>
          <w:color w:val="000000"/>
          <w:szCs w:val="21"/>
        </w:rPr>
        <w:t xml:space="preserve">中小企业定义：</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4.1.1.1</w:t>
      </w:r>
      <w:r>
        <w:rPr>
          <w:rFonts w:hint="eastAsia" w:ascii="Times New Roman" w:hAnsi="Times New Roman"/>
          <w:color w:val="000000"/>
          <w:szCs w:val="21"/>
        </w:rPr>
        <w:t xml:space="preserve">中小企业是</w:t>
      </w:r>
      <w:r>
        <w:rPr>
          <w:rFonts w:hint="eastAsia" w:ascii="Times New Roman" w:hAnsi="Times New Roman"/>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4.1.1.2</w:t>
      </w:r>
      <w:r>
        <w:rPr>
          <w:rFonts w:hint="eastAsia" w:ascii="Times New Roman" w:hAnsi="Times New Roman"/>
          <w:color w:val="000000"/>
          <w:szCs w:val="21"/>
        </w:rPr>
        <w:t xml:space="preserve">供应商提供的货物、工程或者服务符合下列情形的，享受中小企业扶持政策：</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（1）在货物采购项目中，货物由中小企业制造，即货物由中小企业生产且使用该中小企业商号或者注册商标；</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（2）在工程采购项目中，工程由中小企业承建，即工程施工单位为中小企业；</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（3）在服务采购项目中，服务由中小企业承接，即提供服务的人员为中小企业依照《中华人民共和国劳动合同法》订立劳动合同的从业人员。</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4.1.1.3</w:t>
      </w:r>
      <w:r>
        <w:rPr>
          <w:rFonts w:hint="eastAsia" w:ascii="Times New Roman" w:hAnsi="Times New Roman"/>
          <w:color w:val="000000"/>
          <w:szCs w:val="21"/>
        </w:rPr>
        <w:t xml:space="preserve">在货物采购项目中，供应商提供的货物既有中小企业制造货物，也有大型企业制造货物的，不享受中小企业扶持政策。</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4.1.1.4</w:t>
      </w:r>
      <w:r>
        <w:rPr>
          <w:rFonts w:hint="eastAsia" w:ascii="Times New Roman" w:hAnsi="Times New Roman"/>
          <w:color w:val="000000"/>
          <w:szCs w:val="21"/>
        </w:rPr>
        <w:t xml:space="preserve">以联合体形式参加政府采购活动，联合体各方均为中小企业的，联合体视同中小企业。其中，联合体各方均为小微企业的，联合体视同小微企业。</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4.1.2</w:t>
      </w:r>
      <w:r>
        <w:rPr>
          <w:rFonts w:hint="eastAsia" w:ascii="Times New Roman" w:hAnsi="Times New Roman"/>
          <w:color w:val="000000"/>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4.1.3</w:t>
      </w:r>
      <w:r>
        <w:rPr>
          <w:rFonts w:hint="eastAsia" w:ascii="Times New Roman" w:hAnsi="Times New Roman"/>
          <w:color w:val="000000"/>
          <w:szCs w:val="21"/>
        </w:rPr>
        <w:t xml:space="preserve">残疾人福利单位定义：享受政府采购支持政策的残疾人福利性单位应当同时满足以下条件：</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（1）安置的残疾人占本单位在职职工人数的比例不低于25%（含25%），并且安置的残疾人人数不少于10 人（含10 人）；</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（2）依法与安置的每位残疾人签订了一年以上（含一年）的劳动合同或服务协议；</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（3）为安置的每位残疾人按月足额缴纳了基本养老保险、基本医疗保险、失业保险、工伤保险和生育保险等社会保险费；</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（4）通过银行等金融机构向安置的每位残疾人，按月支付了不低于单位所在区县适用的经省级人民政府批准的月最低工资标准的工资；</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（5）提供本单位制造的货物、承担的工程或者服务（以下简称产品），或者提供其他残疾人福利性单位制造的货物（不包括使用非残疾人福利性单位注册商标的货物）；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4.</w:t>
      </w:r>
      <w:r>
        <w:rPr>
          <w:rFonts w:ascii="Times New Roman" w:hAnsi="Times New Roman"/>
          <w:color w:val="000000"/>
          <w:szCs w:val="21"/>
        </w:rPr>
        <w:t xml:space="preserve">1</w:t>
      </w:r>
      <w:r>
        <w:rPr>
          <w:rFonts w:hint="eastAsia" w:ascii="Times New Roman" w:hAnsi="Times New Roman"/>
          <w:color w:val="000000"/>
          <w:szCs w:val="21"/>
        </w:rPr>
        <w:t xml:space="preserve">.</w:t>
      </w:r>
      <w:r>
        <w:rPr>
          <w:rFonts w:ascii="Times New Roman" w:hAnsi="Times New Roman"/>
          <w:color w:val="000000"/>
          <w:szCs w:val="21"/>
        </w:rPr>
        <w:t xml:space="preserve">4</w:t>
      </w:r>
      <w:r>
        <w:rPr>
          <w:rFonts w:hint="eastAsia" w:ascii="Times New Roman" w:hAnsi="Times New Roman"/>
          <w:color w:val="000000"/>
          <w:szCs w:val="21"/>
        </w:rPr>
        <w:t xml:space="preserve">小微企业价格评审优惠的政策调整：见《评标方法与评标标准》（如涉及）。</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4.2</w:t>
      </w:r>
      <w:r>
        <w:rPr>
          <w:rFonts w:hint="eastAsia" w:ascii="Times New Roman" w:hAnsi="Times New Roman"/>
          <w:color w:val="000000"/>
          <w:szCs w:val="21"/>
        </w:rPr>
        <w:t xml:space="preserve">政府采购节能产品、环境标志产品</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4.2.1</w:t>
      </w:r>
      <w:r>
        <w:rPr>
          <w:rFonts w:hint="eastAsia" w:ascii="Times New Roman" w:hAnsi="Times New Roman"/>
          <w:color w:val="000000"/>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4.2.2</w:t>
      </w:r>
      <w:r>
        <w:rPr>
          <w:rFonts w:hint="eastAsia" w:ascii="Times New Roman" w:hAnsi="Times New Roman"/>
          <w:color w:val="000000"/>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4.2.3</w:t>
      </w:r>
      <w:r>
        <w:rPr>
          <w:rFonts w:hint="eastAsia" w:ascii="Times New Roman" w:hAnsi="Times New Roman"/>
          <w:color w:val="000000"/>
          <w:szCs w:val="21"/>
        </w:rPr>
        <w:t xml:space="preserve">如本项目采购产品属于实施政府强制采购品目清单范围的节能产品，则供应商所报产品必须获得国家确定的认证机构出具的、处于有效期之内的节能产品认证证书，否则投标无效；</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4.2.4</w:t>
      </w:r>
      <w:r>
        <w:rPr>
          <w:rFonts w:hint="eastAsia" w:ascii="Times New Roman" w:hAnsi="Times New Roman"/>
          <w:color w:val="000000"/>
          <w:szCs w:val="21"/>
        </w:rPr>
        <w:t xml:space="preserve">非政府强制采购的节能产品或环境标志产品，依据品目清单和认证证书实施政府优先采购。优先采购的具体规定见第五章《评标方法与评标标准》（如涉及）。</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4.3商品包装、快递包装</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4.5绿色数据中心</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根据财政部 生态环境部 工业和信息化部关于印发《绿色数据中心政府采购需求标准（试行）》的通知（ </w:t>
      </w:r>
      <w:bookmarkStart w:id="9" w:name="sendNo"/>
      <w:r>
        <w:rPr>
          <w:rFonts w:hint="eastAsia" w:ascii="Times New Roman" w:hAnsi="Times New Roman"/>
          <w:color w:val="000000"/>
          <w:szCs w:val="21"/>
        </w:rPr>
        <w:t xml:space="preserve">财库〔2023〕7号</w:t>
      </w:r>
      <w:bookmarkEnd w:id="9"/>
      <w:r>
        <w:rPr>
          <w:rFonts w:hint="eastAsia" w:ascii="Times New Roman" w:hAnsi="Times New Roman"/>
          <w:color w:val="000000"/>
          <w:szCs w:val="21"/>
        </w:rPr>
        <w:t xml:space="preserve">）要求，</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4.5.1采购人采购数据中心相关设备、运维服务，应当有利于节约能源、环境保护和资源循环利用，按照《需求标准》实施相关采购活动。</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4.5.2采购人应当加强采购需求管理，根据《需求标准》提出的指标编制数据中心相关设备、运维服务政府采购项目的采购文件，并在合同中明确对相关指标的验收方式和违约责任。</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4.5.3采购人在项目的投标、响应环节，原则上不对数据中心相关设备、服务进行检测、认证，也不要求供应商提供检测报告、认证报告，供应商出具符合相关要求的承诺函可视为符合规定。</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4.5.5对于供应商未按合同约定提供设备或服务的，采购人应当依法追究其违约责任。对于供应商提供虚假材料谋取中标、成交的，依法予以处理。</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w:t>
      </w:r>
      <w:r>
        <w:rPr>
          <w:rFonts w:hint="eastAsia" w:ascii="Times New Roman" w:hAnsi="Times New Roman"/>
          <w:color w:val="000000"/>
          <w:szCs w:val="21"/>
        </w:rPr>
        <w:t xml:space="preserve">6信息安全产品</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w:t>
      </w:r>
      <w:r>
        <w:rPr>
          <w:rFonts w:hint="eastAsia" w:ascii="Times New Roman" w:hAnsi="Times New Roman"/>
          <w:color w:val="000000"/>
          <w:szCs w:val="21"/>
        </w:rPr>
        <w:t xml:space="preserve">6</w:t>
      </w:r>
      <w:r>
        <w:rPr>
          <w:rFonts w:ascii="Times New Roman" w:hAnsi="Times New Roman"/>
          <w:color w:val="000000"/>
          <w:szCs w:val="21"/>
        </w:rPr>
        <w:t xml:space="preserve">.1</w:t>
      </w:r>
      <w:r>
        <w:rPr>
          <w:rFonts w:hint="eastAsia" w:ascii="Times New Roman" w:hAnsi="Times New Roman"/>
          <w:color w:val="000000"/>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keepLines w:val="0"/>
        <w:keepNext w:val="0"/>
        <w:pageBreakBefore w:val="0"/>
        <w:spacing w:line="500" w:lineRule="exact"/>
        <w:widowControl w:val="off"/>
        <w:rPr>
          <w:rFonts w:ascii="Times New Roman" w:hAnsi="Times New Roman"/>
          <w:color w:val="000000"/>
          <w:szCs w:val="21"/>
        </w:rPr>
      </w:pPr>
      <w:r>
        <w:rPr>
          <w:rFonts w:ascii="Times New Roman" w:hAnsi="Times New Roman"/>
          <w:color w:val="000000"/>
          <w:szCs w:val="21"/>
        </w:rPr>
        <w:t xml:space="preserve">4.</w:t>
      </w:r>
      <w:r>
        <w:rPr>
          <w:rFonts w:hint="eastAsia" w:ascii="Times New Roman" w:hAnsi="Times New Roman"/>
          <w:color w:val="000000"/>
          <w:szCs w:val="21"/>
        </w:rPr>
        <w:t xml:space="preserve">6</w:t>
      </w:r>
      <w:r>
        <w:rPr>
          <w:rFonts w:ascii="Times New Roman" w:hAnsi="Times New Roman"/>
          <w:color w:val="000000"/>
          <w:szCs w:val="21"/>
        </w:rPr>
        <w:t xml:space="preserve">.</w:t>
      </w:r>
      <w:r>
        <w:rPr>
          <w:rFonts w:hint="eastAsia" w:ascii="Times New Roman" w:hAnsi="Times New Roman"/>
          <w:color w:val="000000"/>
          <w:szCs w:val="21"/>
        </w:rPr>
        <w:t xml:space="preserve">2未</w:t>
      </w:r>
      <w:r>
        <w:rPr>
          <w:rFonts w:ascii="Times New Roman" w:hAnsi="Times New Roman"/>
          <w:color w:val="000000"/>
          <w:szCs w:val="21"/>
        </w:rPr>
        <w:t xml:space="preserve">按要求提供相关材料的，不享受相关政策。</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4.7 </w:t>
      </w:r>
      <w:r>
        <w:rPr>
          <w:rFonts w:ascii="Times New Roman" w:hAnsi="Times New Roman"/>
          <w:color w:val="000000"/>
          <w:szCs w:val="21"/>
        </w:rPr>
        <w:t xml:space="preserve">电子履约保函(保险)</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Times New Roman" w:hAnsi="Times New Roman"/>
          <w:color w:val="000000"/>
          <w:szCs w:val="21"/>
        </w:rPr>
        <w:t xml:space="preserve">兴财购〔2023〕</w:t>
      </w:r>
      <w:r>
        <w:rPr>
          <w:rFonts w:hint="eastAsia" w:ascii="Times New Roman" w:hAnsi="Times New Roman"/>
          <w:color w:val="000000"/>
          <w:szCs w:val="21"/>
        </w:rPr>
        <w:t xml:space="preserve">2</w:t>
      </w:r>
      <w:r>
        <w:rPr>
          <w:rFonts w:ascii="Times New Roman" w:hAnsi="Times New Roman"/>
          <w:color w:val="000000"/>
          <w:szCs w:val="21"/>
        </w:rPr>
        <w:t xml:space="preserve">5号</w:t>
      </w:r>
      <w:r>
        <w:rPr>
          <w:rFonts w:hint="eastAsia" w:ascii="Times New Roman" w:hAnsi="Times New Roman"/>
          <w:color w:val="000000"/>
          <w:szCs w:val="21"/>
        </w:rPr>
        <w:t xml:space="preserve">）要求，</w:t>
      </w:r>
      <w:r>
        <w:rPr>
          <w:rFonts w:ascii="Times New Roman" w:hAnsi="Times New Roman"/>
          <w:color w:val="000000"/>
          <w:szCs w:val="21"/>
        </w:rPr>
        <w:t xml:space="preserve">为优化政府采购营商环境，进一步降低供应商参与政府采购成本，</w:t>
      </w:r>
      <w:r>
        <w:rPr>
          <w:rFonts w:hint="eastAsia" w:ascii="Times New Roman" w:hAnsi="Times New Roman"/>
          <w:color w:val="000000"/>
          <w:szCs w:val="21"/>
        </w:rPr>
        <w:t xml:space="preserve">我市全面启用政府采购履约保函（保险）。</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供应商可登录江苏政府采购网“资料下载”栏目（网址：</w:t>
      </w:r>
      <w:r>
        <w:rPr>
          <w:rFonts w:ascii="Times New Roman" w:hAnsi="Times New Roman"/>
          <w:color w:val="000000"/>
          <w:szCs w:val="21"/>
        </w:rPr>
        <w:fldChar w:fldCharType="begin"/>
      </w:r>
      <w:r>
        <w:rPr>
          <w:rFonts w:ascii="Times New Roman" w:hAnsi="Times New Roman"/>
          <w:color w:val="000000"/>
          <w:szCs w:val="21"/>
        </w:rPr>
        <w:instrText xml:space="preserve"> HYPERLINK "http://www.ccgp-jiangsu.gov.cn/jiangsu/zlxz" \o "www.ccgp-jiangsu.gov.cn/jiangsu/zlxz）下载" </w:instrText>
      </w:r>
      <w:r>
        <w:rPr>
          <w:rFonts w:ascii="Times New Roman" w:hAnsi="Times New Roman"/>
          <w:color w:val="000000"/>
          <w:szCs w:val="21"/>
        </w:rPr>
        <w:fldChar w:fldCharType="separate"/>
      </w:r>
      <w:r>
        <w:rPr>
          <w:rFonts w:hint="eastAsia" w:ascii="Times New Roman" w:hAnsi="Times New Roman"/>
          <w:color w:val="000000"/>
          <w:szCs w:val="21"/>
        </w:rPr>
        <w:t xml:space="preserve">www.ccgp-jiangsu.gov.cn/jiangsu/zlxz）下载“政府采购电子履约</w:t>
      </w:r>
      <w:r>
        <w:rPr>
          <w:rFonts w:hint="eastAsia" w:ascii="Times New Roman" w:hAnsi="Times New Roman"/>
          <w:color w:val="000000"/>
          <w:szCs w:val="21"/>
        </w:rPr>
        <w:fldChar w:fldCharType="end"/>
      </w:r>
      <w:r>
        <w:rPr>
          <w:rFonts w:hint="eastAsia" w:ascii="Times New Roman" w:hAnsi="Times New Roman"/>
          <w:color w:val="000000"/>
          <w:szCs w:val="21"/>
        </w:rPr>
        <w:t xml:space="preserve">保函（保险）操作手册”。</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三、竞争性谈判、谈判不见面交易注意事项</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1.安装调试音视频设备。各供应商在投标前按照要求装好耳麦、摄像头等通讯工具。</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2.确保音视频畅通。竞争性谈判、谈判项目需要进行谈判、谈判程序，请各供应商在投标前按照要求对耳麦、摄像头等通讯工具进行最终调试，可以利用微信或qq等相关软件进行测试，确保在谈判、谈判过程可以正常进行。</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3.及时完成最终报价。竞争性磋商、谈判项目需要供应商进行最终报价，请各供应商在项目评标结束之前不要擅自离开“苏采云”交易系统开标大厅，待评审专家开启最终报价程序后，及时准确完成最终报价。</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四、供应商相关法律责任提醒</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相关法律法规：</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（一）提供虚假材料谋取中标、成交的；</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（二）采取不正当手段诋毁、排挤其他供应商的；</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（三）与采购人、其他供应商或者采购代理机构恶意串通的；</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（四）向采购人、采购代理机构行贿或者提供其他不正当利益的；</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（五）在招标采购过程中与采购人进行协商谈判的；</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（六）拒绝有关部门监督检查或者提供虚假情况的。</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供应商有前款第（一）至（五）项情形之一的，中标、成交无效。</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《政府采购法实施条例》第七十二条　供应商有下列情形之一的，依照政府采购法第七十七条第一款的规定追究法律责任：</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（一）向评标委员会、竞争性谈判小组或者询价小组成员行贿或者提供其他不正当利益；</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（二）中标或者成交后无正当理由拒不与采购人签订政府采购合同；</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（三）未按照采购文件确定的事项签订政府采购合同；</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（四）将政府采购合同转包；</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（五）提供假冒伪劣产品；</w:t>
      </w:r>
      <w:r/>
    </w:p>
    <w:p>
      <w:pPr>
        <w:keepLines w:val="0"/>
        <w:keepNext w:val="0"/>
        <w:pageBreakBefore w:val="0"/>
        <w:spacing w:line="500" w:lineRule="exact"/>
        <w:widowControl w:val="off"/>
        <w:rPr>
          <w:rFonts w:ascii="Times New Roman" w:hAnsi="Times New Roman"/>
          <w:color w:val="000000"/>
          <w:szCs w:val="21"/>
        </w:rPr>
      </w:pPr>
      <w:r>
        <w:rPr>
          <w:rFonts w:hint="eastAsia" w:ascii="Times New Roman" w:hAnsi="Times New Roman"/>
          <w:color w:val="000000"/>
          <w:szCs w:val="21"/>
        </w:rPr>
        <w:t xml:space="preserve">（六）擅自变更、中止或者终止政府采购合同。</w:t>
      </w:r>
      <w:r/>
    </w:p>
    <w:p>
      <w:pPr>
        <w:keepLines w:val="0"/>
        <w:keepNext w:val="0"/>
        <w:pageBreakBefore w:val="0"/>
        <w:spacing w:line="500" w:lineRule="exact"/>
        <w:widowControl w:val="off"/>
        <w:rPr>
          <w:rFonts w:hint="eastAsia" w:ascii="Times New Roman" w:hAnsi="Times New Roman"/>
          <w:color w:val="000000"/>
          <w:szCs w:val="21"/>
        </w:rPr>
      </w:pPr>
      <w:r>
        <w:rPr>
          <w:rFonts w:hint="eastAsia" w:ascii="Times New Roman" w:hAnsi="Times New Roman"/>
          <w:color w:val="000000"/>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715"/>
        <w:rPr>
          <w:rFonts w:hint="eastAsia"/>
        </w:rPr>
      </w:pPr>
      <w:r>
        <w:rPr>
          <w:rFonts w:hint="eastAsia"/>
        </w:rPr>
      </w:r>
      <w:r/>
    </w:p>
    <w:p>
      <w:pPr>
        <w:pStyle w:val="715"/>
      </w:pPr>
      <w:r/>
      <w:r/>
    </w:p>
    <w:p>
      <w:pPr>
        <w:ind w:firstLine="560"/>
        <w:spacing w:line="520" w:lineRule="exact"/>
        <w:rPr>
          <w:rFonts w:hint="eastAsia" w:ascii="宋体" w:hAnsi="宋体" w:cs="宋体"/>
          <w:sz w:val="24"/>
          <w:szCs w:val="24"/>
        </w:rPr>
      </w:pPr>
      <w:r>
        <w:rPr>
          <w:rFonts w:hint="eastAsia" w:ascii="宋体" w:hAnsi="宋体" w:cs="宋体"/>
          <w:sz w:val="24"/>
          <w:szCs w:val="24"/>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pStyle w:val="746"/>
        <w:rPr>
          <w:rFonts w:eastAsia="宋体"/>
        </w:rPr>
      </w:pPr>
      <w:r>
        <w:rPr>
          <w:rFonts w:eastAsia="宋体"/>
        </w:rPr>
      </w:r>
      <w:r/>
    </w:p>
    <w:p>
      <w:pPr>
        <w:pStyle w:val="746"/>
        <w:rPr>
          <w:rFonts w:eastAsia="宋体"/>
        </w:rPr>
      </w:pPr>
      <w:r>
        <w:rPr>
          <w:rFonts w:eastAsia="宋体"/>
        </w:rPr>
      </w:r>
      <w:r/>
    </w:p>
    <w:p>
      <w:pPr>
        <w:pStyle w:val="746"/>
        <w:rPr>
          <w:rFonts w:eastAsia="宋体"/>
        </w:rPr>
      </w:pPr>
      <w:r>
        <w:rPr>
          <w:rFonts w:eastAsia="宋体"/>
        </w:rPr>
      </w:r>
      <w:r/>
    </w:p>
    <w:p>
      <w:pPr>
        <w:pStyle w:val="746"/>
        <w:rPr>
          <w:rFonts w:eastAsia="宋体"/>
        </w:rPr>
      </w:pPr>
      <w:r>
        <w:rPr>
          <w:rFonts w:eastAsia="宋体"/>
        </w:rPr>
      </w:r>
      <w:r/>
    </w:p>
    <w:p>
      <w:pPr>
        <w:pStyle w:val="746"/>
        <w:rPr>
          <w:rFonts w:eastAsia="宋体"/>
        </w:rPr>
      </w:pPr>
      <w:r>
        <w:rPr>
          <w:rFonts w:eastAsia="宋体"/>
        </w:rPr>
      </w:r>
      <w:r/>
    </w:p>
    <w:p>
      <w:pPr>
        <w:pStyle w:val="746"/>
        <w:rPr>
          <w:rFonts w:eastAsia="宋体"/>
        </w:rPr>
      </w:pPr>
      <w:r>
        <w:rPr>
          <w:rFonts w:eastAsia="宋体"/>
        </w:rPr>
      </w:r>
      <w:r/>
    </w:p>
    <w:p>
      <w:pPr>
        <w:pStyle w:val="746"/>
        <w:rPr>
          <w:rFonts w:eastAsia="宋体"/>
        </w:rPr>
      </w:pPr>
      <w:r>
        <w:rPr>
          <w:rFonts w:eastAsia="宋体"/>
        </w:rPr>
      </w:r>
      <w:r/>
    </w:p>
    <w:p>
      <w:pPr>
        <w:pStyle w:val="746"/>
        <w:rPr>
          <w:rFonts w:eastAsia="宋体"/>
        </w:rPr>
      </w:pPr>
      <w:r>
        <w:rPr>
          <w:rFonts w:eastAsia="宋体"/>
        </w:rPr>
      </w:r>
      <w:r/>
    </w:p>
    <w:p>
      <w:pPr>
        <w:pStyle w:val="746"/>
        <w:rPr>
          <w:rFonts w:eastAsia="宋体"/>
        </w:rPr>
      </w:pPr>
      <w:r>
        <w:rPr>
          <w:rFonts w:eastAsia="宋体"/>
        </w:rPr>
      </w:r>
      <w:r/>
    </w:p>
    <w:p>
      <w:pPr>
        <w:pStyle w:val="746"/>
        <w:rPr>
          <w:rFonts w:eastAsia="宋体"/>
        </w:rPr>
      </w:pPr>
      <w:r>
        <w:rPr>
          <w:rFonts w:eastAsia="宋体"/>
        </w:rPr>
      </w:r>
      <w:r/>
    </w:p>
    <w:p>
      <w:pPr>
        <w:pStyle w:val="746"/>
        <w:rPr>
          <w:rFonts w:eastAsia="宋体"/>
        </w:rPr>
      </w:pPr>
      <w:r>
        <w:rPr>
          <w:rFonts w:eastAsia="宋体"/>
        </w:rPr>
      </w:r>
      <w:r/>
    </w:p>
    <w:p>
      <w:pPr>
        <w:pStyle w:val="746"/>
        <w:rPr>
          <w:rFonts w:eastAsia="宋体"/>
        </w:rPr>
      </w:pPr>
      <w:r>
        <w:rPr>
          <w:rFonts w:eastAsia="宋体"/>
        </w:rPr>
      </w:r>
      <w:r/>
    </w:p>
    <w:p>
      <w:pPr>
        <w:pStyle w:val="746"/>
        <w:rPr>
          <w:rFonts w:eastAsia="宋体"/>
        </w:rPr>
      </w:pPr>
      <w:r>
        <w:rPr>
          <w:rFonts w:eastAsia="宋体"/>
        </w:rPr>
      </w:r>
      <w:r/>
    </w:p>
    <w:p>
      <w:pPr>
        <w:jc w:val="center"/>
        <w:keepNext/>
        <w:rPr>
          <w:rFonts w:hint="eastAsia" w:ascii="黑体" w:hAnsi="Times New Roman" w:eastAsia="黑体"/>
          <w:color w:val="000000"/>
          <w:sz w:val="44"/>
          <w:szCs w:val="44"/>
        </w:rPr>
        <w:outlineLvl w:val="0"/>
      </w:pPr>
      <w:r>
        <w:rPr>
          <w:rFonts w:hint="eastAsia" w:ascii="黑体" w:hAnsi="Times New Roman" w:eastAsia="黑体"/>
          <w:color w:val="000000"/>
          <w:sz w:val="44"/>
          <w:szCs w:val="44"/>
        </w:rPr>
      </w:r>
      <w:r/>
    </w:p>
    <w:p>
      <w:pPr>
        <w:pStyle w:val="715"/>
        <w:rPr>
          <w:rFonts w:hint="eastAsia" w:ascii="黑体" w:hAnsi="Times New Roman" w:eastAsia="黑体"/>
          <w:color w:val="000000"/>
          <w:sz w:val="44"/>
          <w:szCs w:val="44"/>
        </w:rPr>
      </w:pPr>
      <w:r>
        <w:rPr>
          <w:rFonts w:hint="eastAsia" w:ascii="黑体" w:hAnsi="Times New Roman" w:eastAsia="黑体"/>
          <w:color w:val="000000"/>
          <w:sz w:val="44"/>
          <w:szCs w:val="44"/>
        </w:rPr>
      </w:r>
      <w:r/>
    </w:p>
    <w:p>
      <w:pPr>
        <w:pStyle w:val="715"/>
        <w:rPr>
          <w:rFonts w:hint="eastAsia" w:ascii="黑体" w:hAnsi="Times New Roman" w:eastAsia="黑体"/>
          <w:color w:val="000000"/>
          <w:sz w:val="44"/>
          <w:szCs w:val="44"/>
        </w:rPr>
      </w:pPr>
      <w:r>
        <w:rPr>
          <w:rFonts w:hint="eastAsia" w:ascii="黑体" w:hAnsi="Times New Roman" w:eastAsia="黑体"/>
          <w:color w:val="000000"/>
          <w:sz w:val="44"/>
          <w:szCs w:val="44"/>
        </w:rPr>
      </w:r>
      <w:r/>
    </w:p>
    <w:p>
      <w:pPr>
        <w:pStyle w:val="715"/>
        <w:rPr>
          <w:rFonts w:hint="eastAsia" w:ascii="黑体" w:hAnsi="Times New Roman" w:eastAsia="黑体"/>
          <w:color w:val="000000"/>
          <w:sz w:val="44"/>
          <w:szCs w:val="44"/>
        </w:rPr>
      </w:pPr>
      <w:r>
        <w:rPr>
          <w:rFonts w:hint="eastAsia" w:ascii="黑体" w:hAnsi="Times New Roman" w:eastAsia="黑体"/>
          <w:color w:val="000000"/>
          <w:sz w:val="44"/>
          <w:szCs w:val="44"/>
        </w:rPr>
      </w:r>
      <w:r/>
    </w:p>
    <w:p>
      <w:pPr>
        <w:pStyle w:val="715"/>
        <w:rPr>
          <w:rFonts w:hint="eastAsia" w:ascii="黑体" w:hAnsi="Times New Roman" w:eastAsia="黑体"/>
          <w:color w:val="000000"/>
          <w:sz w:val="44"/>
          <w:szCs w:val="44"/>
        </w:rPr>
      </w:pPr>
      <w:r>
        <w:rPr>
          <w:rFonts w:hint="eastAsia" w:ascii="黑体" w:hAnsi="Times New Roman" w:eastAsia="黑体"/>
          <w:color w:val="000000"/>
          <w:sz w:val="44"/>
          <w:szCs w:val="44"/>
        </w:rPr>
      </w:r>
      <w:r/>
    </w:p>
    <w:p>
      <w:pPr>
        <w:pStyle w:val="715"/>
        <w:rPr>
          <w:rFonts w:hint="eastAsia" w:ascii="黑体" w:hAnsi="Times New Roman" w:eastAsia="黑体"/>
          <w:color w:val="000000"/>
          <w:sz w:val="44"/>
          <w:szCs w:val="44"/>
        </w:rPr>
      </w:pPr>
      <w:r>
        <w:rPr>
          <w:rFonts w:hint="eastAsia" w:ascii="黑体" w:hAnsi="Times New Roman" w:eastAsia="黑体"/>
          <w:color w:val="000000"/>
          <w:sz w:val="44"/>
          <w:szCs w:val="44"/>
        </w:rPr>
      </w:r>
      <w:r/>
    </w:p>
    <w:p>
      <w:pPr>
        <w:pStyle w:val="715"/>
        <w:rPr>
          <w:rFonts w:hint="eastAsia" w:ascii="黑体" w:hAnsi="Times New Roman" w:eastAsia="黑体"/>
          <w:color w:val="000000"/>
          <w:sz w:val="44"/>
          <w:szCs w:val="44"/>
        </w:rPr>
      </w:pPr>
      <w:r>
        <w:rPr>
          <w:rFonts w:hint="eastAsia" w:ascii="黑体" w:hAnsi="Times New Roman" w:eastAsia="黑体"/>
          <w:color w:val="000000"/>
          <w:sz w:val="44"/>
          <w:szCs w:val="44"/>
        </w:rPr>
      </w:r>
      <w:r/>
    </w:p>
    <w:p>
      <w:pPr>
        <w:pStyle w:val="715"/>
        <w:rPr>
          <w:rFonts w:hint="eastAsia" w:ascii="黑体" w:hAnsi="Times New Roman" w:eastAsia="黑体"/>
          <w:color w:val="000000"/>
          <w:sz w:val="44"/>
          <w:szCs w:val="44"/>
        </w:rPr>
      </w:pPr>
      <w:r>
        <w:rPr>
          <w:rFonts w:hint="eastAsia" w:ascii="黑体" w:hAnsi="Times New Roman" w:eastAsia="黑体"/>
          <w:color w:val="000000"/>
          <w:sz w:val="44"/>
          <w:szCs w:val="44"/>
        </w:rPr>
      </w:r>
      <w:r/>
    </w:p>
    <w:p>
      <w:pPr>
        <w:pStyle w:val="715"/>
        <w:rPr>
          <w:rFonts w:hint="eastAsia" w:ascii="黑体" w:hAnsi="Times New Roman" w:eastAsia="黑体"/>
          <w:color w:val="000000"/>
          <w:sz w:val="44"/>
          <w:szCs w:val="44"/>
        </w:rPr>
      </w:pPr>
      <w:r>
        <w:rPr>
          <w:rFonts w:hint="eastAsia" w:ascii="黑体" w:hAnsi="Times New Roman" w:eastAsia="黑体"/>
          <w:color w:val="000000"/>
          <w:sz w:val="44"/>
          <w:szCs w:val="44"/>
        </w:rPr>
      </w:r>
      <w:r/>
    </w:p>
    <w:p>
      <w:pPr>
        <w:pStyle w:val="715"/>
        <w:rPr>
          <w:rFonts w:hint="eastAsia" w:ascii="黑体" w:hAnsi="Times New Roman" w:eastAsia="黑体"/>
          <w:color w:val="000000"/>
          <w:sz w:val="44"/>
          <w:szCs w:val="44"/>
        </w:rPr>
      </w:pPr>
      <w:r>
        <w:rPr>
          <w:rFonts w:hint="eastAsia" w:ascii="黑体" w:hAnsi="Times New Roman" w:eastAsia="黑体"/>
          <w:color w:val="000000"/>
          <w:sz w:val="44"/>
          <w:szCs w:val="44"/>
        </w:rPr>
      </w:r>
      <w:r/>
    </w:p>
    <w:p>
      <w:pPr>
        <w:jc w:val="center"/>
        <w:keepNext/>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磋商邀请</w:t>
      </w:r>
      <w:r/>
    </w:p>
    <w:p>
      <w:pPr>
        <w:ind w:firstLine="480"/>
        <w:pageBreakBefore w:val="0"/>
        <w:spacing w:line="46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bCs/>
          <w:sz w:val="24"/>
          <w:szCs w:val="24"/>
        </w:rPr>
        <w:t xml:space="preserve">兴化市</w:t>
      </w:r>
      <w:r>
        <w:rPr>
          <w:rFonts w:hint="eastAsia" w:ascii="宋体" w:hAnsi="宋体"/>
          <w:bCs/>
          <w:sz w:val="24"/>
          <w:szCs w:val="24"/>
          <w:lang w:eastAsia="zh-CN"/>
        </w:rPr>
        <w:t xml:space="preserve">水资源服务中心</w:t>
      </w:r>
      <w:r>
        <w:rPr>
          <w:rFonts w:hint="eastAsia" w:ascii="宋体" w:hAnsi="宋体"/>
          <w:color w:val="000000"/>
          <w:sz w:val="24"/>
          <w:szCs w:val="24"/>
        </w:rPr>
        <w:t xml:space="preserve">的委托，泰州信诚招标代理有限公司就</w:t>
      </w:r>
      <w:r>
        <w:rPr>
          <w:rFonts w:hint="eastAsia" w:ascii="宋体" w:hAnsi="宋体"/>
          <w:bCs/>
          <w:color w:val="000000"/>
          <w:sz w:val="24"/>
          <w:szCs w:val="24"/>
          <w:lang w:eastAsia="zh-CN"/>
        </w:rPr>
        <w:t xml:space="preserve">兴化市县域水资源管理规范化建设</w:t>
      </w:r>
      <w:r>
        <w:rPr>
          <w:rFonts w:hint="eastAsia" w:ascii="宋体" w:hAnsi="宋体"/>
          <w:color w:val="000000"/>
          <w:sz w:val="24"/>
          <w:szCs w:val="24"/>
        </w:rPr>
        <w:t xml:space="preserve">(</w:t>
      </w:r>
      <w:r>
        <w:rPr>
          <w:rFonts w:ascii="宋体" w:hAnsi="宋体"/>
          <w:color w:val="000000"/>
          <w:sz w:val="24"/>
          <w:szCs w:val="24"/>
        </w:rPr>
        <w:t xml:space="preserve">JSZC-321281-XCDL-C202</w:t>
      </w:r>
      <w:r>
        <w:rPr>
          <w:rFonts w:hint="eastAsia" w:ascii="宋体" w:hAnsi="宋体"/>
          <w:color w:val="000000"/>
          <w:sz w:val="24"/>
          <w:szCs w:val="24"/>
          <w:lang w:val="en-US" w:eastAsia="zh-CN"/>
        </w:rPr>
        <w:t xml:space="preserve">5</w:t>
      </w:r>
      <w:r>
        <w:rPr>
          <w:rFonts w:ascii="宋体" w:hAnsi="宋体"/>
          <w:color w:val="000000"/>
          <w:sz w:val="24"/>
          <w:szCs w:val="24"/>
        </w:rPr>
        <w:t xml:space="preserve">-</w:t>
      </w:r>
      <w:r>
        <w:rPr>
          <w:rFonts w:hint="eastAsia" w:ascii="宋体" w:hAnsi="宋体"/>
          <w:color w:val="000000"/>
          <w:sz w:val="24"/>
          <w:szCs w:val="24"/>
          <w:lang w:val="en-US" w:eastAsia="zh-CN"/>
        </w:rPr>
        <w:t xml:space="preserve">0002</w:t>
      </w:r>
      <w:r>
        <w:rPr>
          <w:rFonts w:hint="eastAsia" w:ascii="宋体" w:hAnsi="宋体"/>
          <w:color w:val="000000"/>
          <w:sz w:val="24"/>
          <w:szCs w:val="24"/>
        </w:rPr>
        <w:t xml:space="preserve">)项目进行竞争性磋商采购，欢迎符合条件的供应商参加磋商。</w:t>
      </w:r>
      <w:r/>
    </w:p>
    <w:p>
      <w:pPr>
        <w:ind w:firstLine="480"/>
        <w:pageBreakBefore w:val="0"/>
        <w:spacing w:line="4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pageBreakBefore w:val="0"/>
        <w:spacing w:line="4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szCs w:val="24"/>
          <w:lang w:eastAsia="zh-CN"/>
        </w:rPr>
        <w:t xml:space="preserve">兴化市县域水资源管理规范化建设</w:t>
      </w:r>
      <w:r>
        <w:rPr>
          <w:rFonts w:hint="eastAsia" w:ascii="宋体" w:hAnsi="宋体"/>
          <w:bCs/>
          <w:color w:val="000000"/>
          <w:sz w:val="24"/>
          <w:szCs w:val="24"/>
        </w:rPr>
        <w:t xml:space="preserve">项目</w:t>
      </w:r>
      <w:r>
        <w:rPr>
          <w:rFonts w:hint="eastAsia" w:ascii="宋体" w:hAnsi="宋体"/>
          <w:color w:val="000000"/>
          <w:sz w:val="24"/>
          <w:szCs w:val="24"/>
        </w:rPr>
        <w:t xml:space="preserve">竞争性磋商项目的潜在供应商可在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磋商文件，并于202</w:t>
      </w:r>
      <w:r>
        <w:rPr>
          <w:rFonts w:hint="eastAsia" w:ascii="宋体" w:hAnsi="宋体"/>
          <w:color w:val="000000"/>
          <w:sz w:val="24"/>
          <w:szCs w:val="24"/>
          <w:lang w:val="en-US" w:eastAsia="zh-CN"/>
        </w:rPr>
        <w:t xml:space="preserve">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23</w:t>
      </w:r>
      <w:r>
        <w:rPr>
          <w:rFonts w:hint="eastAsia" w:ascii="宋体" w:hAnsi="宋体"/>
          <w:bCs/>
          <w:color w:val="000000"/>
          <w:sz w:val="24"/>
          <w:szCs w:val="24"/>
          <w:u w:val="single"/>
        </w:rPr>
        <w:t xml:space="preserve">日14点00分（</w:t>
      </w:r>
      <w:r>
        <w:rPr>
          <w:rFonts w:hint="eastAsia" w:ascii="宋体" w:hAnsi="宋体"/>
          <w:bCs/>
          <w:color w:val="000000"/>
          <w:sz w:val="24"/>
          <w:szCs w:val="24"/>
        </w:rPr>
        <w:t xml:space="preserve">北京时间）前递交响应文件</w:t>
      </w:r>
      <w:r>
        <w:rPr>
          <w:rFonts w:hint="eastAsia" w:ascii="宋体" w:hAnsi="宋体"/>
          <w:color w:val="000000"/>
          <w:sz w:val="24"/>
          <w:szCs w:val="24"/>
        </w:rPr>
        <w:t xml:space="preserve">。</w:t>
      </w:r>
      <w:r/>
    </w:p>
    <w:p>
      <w:pPr>
        <w:ind w:firstLine="498"/>
        <w:keepLines/>
        <w:keepNext/>
        <w:pageBreakBefore w:val="0"/>
        <w:spacing w:before="145" w:after="145" w:line="460" w:lineRule="exact"/>
        <w:widowControl w:val="off"/>
        <w:rPr>
          <w:rFonts w:ascii="Times New Roman" w:hAnsi="Times New Roman"/>
          <w:b/>
          <w:bCs/>
          <w:color w:val="000000"/>
          <w:sz w:val="32"/>
          <w:szCs w:val="32"/>
        </w:rPr>
        <w:outlineLvl w:val="2"/>
      </w:pPr>
      <w:r/>
      <w:bookmarkStart w:id="10" w:name="_Toc28359079"/>
      <w:r/>
      <w:bookmarkStart w:id="11" w:name="_Toc28359002"/>
      <w:r/>
      <w:bookmarkStart w:id="12" w:name="_Toc38985263"/>
      <w:r/>
      <w:bookmarkStart w:id="13" w:name="_Toc35393790"/>
      <w:r/>
      <w:bookmarkStart w:id="14" w:name="_Toc35393621"/>
      <w:r/>
      <w:bookmarkStart w:id="15" w:name="_Hlk24379207"/>
      <w:r>
        <w:rPr>
          <w:rFonts w:hint="eastAsia" w:ascii="Times New Roman" w:hAnsi="Times New Roman"/>
          <w:b/>
          <w:bCs/>
          <w:color w:val="000000"/>
          <w:sz w:val="32"/>
          <w:szCs w:val="32"/>
        </w:rPr>
        <w:t xml:space="preserve">一、项目基本情况</w:t>
      </w:r>
      <w:bookmarkEnd w:id="10"/>
      <w:r/>
      <w:bookmarkEnd w:id="11"/>
      <w:r/>
      <w:bookmarkEnd w:id="12"/>
      <w:r/>
      <w:bookmarkEnd w:id="13"/>
      <w:r/>
      <w:bookmarkEnd w:id="14"/>
      <w:r/>
      <w:bookmarkEnd w:id="15"/>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JSZC-321281-XCDL-C202</w:t>
      </w:r>
      <w:r>
        <w:rPr>
          <w:rFonts w:hint="eastAsia" w:ascii="宋体" w:hAnsi="宋体"/>
          <w:color w:val="000000"/>
          <w:sz w:val="24"/>
          <w:szCs w:val="24"/>
          <w:lang w:val="en-US" w:eastAsia="zh-CN"/>
        </w:rPr>
        <w:t xml:space="preserve">5</w:t>
      </w:r>
      <w:r>
        <w:rPr>
          <w:rFonts w:ascii="宋体" w:hAnsi="宋体"/>
          <w:color w:val="000000"/>
          <w:sz w:val="24"/>
          <w:szCs w:val="24"/>
        </w:rPr>
        <w:t xml:space="preserve">-</w:t>
      </w:r>
      <w:r>
        <w:rPr>
          <w:rFonts w:hint="eastAsia" w:ascii="宋体" w:hAnsi="宋体"/>
          <w:color w:val="000000"/>
          <w:sz w:val="24"/>
          <w:szCs w:val="24"/>
          <w:lang w:val="en-US" w:eastAsia="zh-CN"/>
        </w:rPr>
        <w:t xml:space="preserve">0002 </w:t>
      </w:r>
      <w:r>
        <w:rPr>
          <w:rFonts w:hint="eastAsia" w:ascii="宋体" w:hAnsi="宋体"/>
          <w:color w:val="000000"/>
          <w:sz w:val="24"/>
          <w:szCs w:val="24"/>
        </w:rPr>
        <w:t xml:space="preserve">  </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bCs/>
          <w:color w:val="000000"/>
          <w:sz w:val="24"/>
          <w:szCs w:val="24"/>
          <w:lang w:eastAsia="zh-CN"/>
        </w:rPr>
        <w:t xml:space="preserve">兴化市县域水资源管理规范化建设</w:t>
      </w:r>
      <w:r>
        <w:rPr>
          <w:rFonts w:hint="eastAsia" w:ascii="宋体" w:hAnsi="宋体"/>
          <w:bCs/>
          <w:color w:val="000000"/>
          <w:sz w:val="24"/>
          <w:szCs w:val="24"/>
        </w:rPr>
        <w:t xml:space="preserve">项目</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3.预算金额：</w:t>
      </w:r>
      <w:bookmarkStart w:id="16" w:name="_Toc35393622"/>
      <w:r/>
      <w:bookmarkStart w:id="17" w:name="_Toc28359003"/>
      <w:r/>
      <w:bookmarkStart w:id="18" w:name="_Toc28359080"/>
      <w:r/>
      <w:bookmarkStart w:id="19" w:name="_Toc35393791"/>
      <w:r/>
      <w:bookmarkStart w:id="20" w:name="_Toc38985264"/>
      <w:r>
        <w:rPr>
          <w:rFonts w:hint="eastAsia" w:ascii="宋体" w:hAnsi="宋体"/>
          <w:color w:val="000000"/>
          <w:sz w:val="24"/>
          <w:szCs w:val="24"/>
          <w:lang w:val="en-US" w:eastAsia="zh-CN"/>
        </w:rPr>
        <w:t xml:space="preserve">人民币伍</w:t>
      </w:r>
      <w:r>
        <w:rPr>
          <w:rFonts w:hint="eastAsia" w:ascii="宋体" w:hAnsi="宋体"/>
          <w:color w:val="000000"/>
          <w:sz w:val="24"/>
          <w:szCs w:val="24"/>
        </w:rPr>
        <w:t xml:space="preserve">拾万元整</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最高限价，</w:t>
      </w:r>
      <w:r>
        <w:rPr>
          <w:rFonts w:hint="eastAsia" w:ascii="宋体" w:hAnsi="宋体"/>
          <w:sz w:val="24"/>
          <w:szCs w:val="24"/>
          <w:lang w:eastAsia="zh-CN"/>
        </w:rPr>
        <w:t xml:space="preserve">人民币</w:t>
      </w:r>
      <w:r>
        <w:rPr>
          <w:rFonts w:hint="eastAsia" w:ascii="宋体" w:hAnsi="宋体"/>
          <w:color w:val="000000"/>
          <w:sz w:val="24"/>
          <w:szCs w:val="24"/>
          <w:lang w:eastAsia="zh-CN"/>
        </w:rPr>
        <w:t xml:space="preserve">伍</w:t>
      </w:r>
      <w:r>
        <w:rPr>
          <w:rFonts w:hint="eastAsia" w:ascii="宋体" w:hAnsi="宋体"/>
          <w:color w:val="000000"/>
          <w:sz w:val="24"/>
          <w:szCs w:val="24"/>
        </w:rPr>
        <w:t xml:space="preserve">拾万元整</w:t>
      </w:r>
      <w:r/>
    </w:p>
    <w:p>
      <w:pPr>
        <w:ind w:firstLine="480"/>
        <w:pageBreakBefore w:val="0"/>
        <w:spacing w:line="460" w:lineRule="exact"/>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bCs/>
          <w:color w:val="000000"/>
          <w:sz w:val="24"/>
          <w:szCs w:val="24"/>
          <w:lang w:eastAsia="zh-CN"/>
        </w:rPr>
        <w:t xml:space="preserve">兴化市县域水资源管理规范化建设</w:t>
      </w:r>
      <w:r>
        <w:rPr>
          <w:rFonts w:hint="eastAsia" w:ascii="宋体" w:hAnsi="宋体" w:cs="宋体"/>
          <w:color w:val="000000"/>
          <w:sz w:val="24"/>
          <w:szCs w:val="24"/>
        </w:rPr>
        <w:t xml:space="preserve">项目（详细内容见本磋商文件第四章）</w:t>
      </w:r>
      <w:r/>
    </w:p>
    <w:p>
      <w:pPr>
        <w:ind w:firstLine="480"/>
        <w:pageBreakBefore w:val="0"/>
        <w:spacing w:line="460" w:lineRule="exact"/>
        <w:widowControl w:val="off"/>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90</w:t>
      </w:r>
      <w:r>
        <w:rPr>
          <w:rFonts w:hint="eastAsia" w:ascii="宋体" w:hAnsi="宋体"/>
          <w:color w:val="000000"/>
          <w:sz w:val="24"/>
          <w:szCs w:val="24"/>
        </w:rPr>
        <w:t xml:space="preserve">天</w:t>
      </w:r>
      <w:r>
        <w:rPr>
          <w:rFonts w:hint="eastAsia" w:ascii="宋体" w:hAnsi="宋体"/>
          <w:bCs/>
          <w:color w:val="000000"/>
          <w:sz w:val="24"/>
          <w:szCs w:val="24"/>
        </w:rPr>
        <w:t xml:space="preserve">。</w:t>
      </w:r>
      <w:r/>
    </w:p>
    <w:p>
      <w:pPr>
        <w:ind w:firstLine="498"/>
        <w:keepLines/>
        <w:keepNext/>
        <w:pageBreakBefore w:val="0"/>
        <w:spacing w:before="145" w:after="145" w:line="460" w:lineRule="exact"/>
        <w:widowControl w:val="off"/>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二、申请人的资格要求：</w:t>
      </w:r>
      <w:bookmarkEnd w:id="16"/>
      <w:r/>
      <w:bookmarkEnd w:id="17"/>
      <w:r/>
      <w:bookmarkEnd w:id="18"/>
      <w:r/>
      <w:bookmarkEnd w:id="19"/>
      <w:r/>
      <w:bookmarkEnd w:id="20"/>
      <w:r/>
      <w:r/>
    </w:p>
    <w:p>
      <w:pPr>
        <w:ind w:firstLine="480"/>
        <w:pageBreakBefore w:val="0"/>
        <w:spacing w:line="460" w:lineRule="exact"/>
        <w:widowControl w:val="off"/>
        <w:rPr>
          <w:rFonts w:ascii="宋体" w:hAnsi="宋体"/>
          <w:color w:val="000000"/>
          <w:sz w:val="24"/>
          <w:szCs w:val="24"/>
        </w:rPr>
      </w:pPr>
      <w:r/>
      <w:bookmarkStart w:id="21" w:name="_Toc38985265"/>
      <w:r/>
      <w:bookmarkStart w:id="22" w:name="_Toc35393792"/>
      <w:r/>
      <w:bookmarkStart w:id="23" w:name="_Toc28359004"/>
      <w:r/>
      <w:bookmarkStart w:id="24" w:name="_Toc28359081"/>
      <w:r/>
      <w:bookmarkStart w:id="25"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1.2 上一年度的财务状况报告（成立不满一年无需提供）；</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pageBreakBefore w:val="0"/>
        <w:spacing w:line="460" w:lineRule="exact"/>
        <w:widowControl w:val="off"/>
        <w:rPr>
          <w:rFonts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460" w:lineRule="exact"/>
        <w:widowControl w:val="off"/>
        <w:rPr>
          <w:rFonts w:ascii="宋体" w:hAnsi="宋体" w:cs="宋体"/>
          <w:color w:val="000000"/>
          <w:sz w:val="24"/>
          <w:szCs w:val="24"/>
        </w:rPr>
      </w:pPr>
      <w:r>
        <w:rPr>
          <w:rFonts w:hint="eastAsia" w:ascii="宋体" w:hAnsi="宋体"/>
          <w:color w:val="000000"/>
          <w:sz w:val="24"/>
          <w:szCs w:val="24"/>
        </w:rPr>
        <w:t xml:space="preserve">3. 落实政府采购政策需满足的资格要求：本项目</w:t>
      </w:r>
      <w:bookmarkStart w:id="194" w:name="_GoBack"/>
      <w:r/>
      <w:bookmarkEnd w:id="194"/>
      <w:r>
        <w:rPr>
          <w:rFonts w:hint="eastAsia" w:ascii="宋体" w:hAnsi="宋体"/>
          <w:color w:val="000000"/>
          <w:sz w:val="24"/>
          <w:szCs w:val="24"/>
        </w:rPr>
        <w:t xml:space="preserve">专门面向中小企业采购。</w:t>
      </w:r>
      <w:r/>
    </w:p>
    <w:p>
      <w:pPr>
        <w:ind w:firstLine="480"/>
        <w:pageBreakBefore w:val="0"/>
        <w:spacing w:line="460" w:lineRule="exact"/>
        <w:widowControl w:val="off"/>
        <w:rPr>
          <w:rFonts w:ascii="宋体" w:hAnsi="宋体" w:cs="宋体"/>
          <w:sz w:val="24"/>
          <w:szCs w:val="24"/>
        </w:rPr>
      </w:pPr>
      <w:r>
        <w:rPr>
          <w:rFonts w:hint="eastAsia" w:ascii="宋体" w:hAnsi="宋体"/>
          <w:color w:val="000000"/>
          <w:sz w:val="24"/>
          <w:szCs w:val="24"/>
        </w:rPr>
        <w:t xml:space="preserve">4.</w:t>
      </w:r>
      <w:r>
        <w:rPr>
          <w:rFonts w:hint="eastAsia" w:ascii="宋体" w:hAnsi="宋体"/>
          <w:sz w:val="24"/>
          <w:szCs w:val="24"/>
        </w:rPr>
        <w:t xml:space="preserve"> 本项目</w:t>
      </w:r>
      <w:r>
        <w:rPr>
          <w:rFonts w:hint="eastAsia" w:ascii="宋体" w:hAnsi="宋体"/>
          <w:sz w:val="24"/>
          <w:szCs w:val="24"/>
          <w:u w:val="single"/>
        </w:rPr>
        <w:t xml:space="preserve"> 不接受 </w:t>
      </w:r>
      <w:r>
        <w:rPr>
          <w:rFonts w:hint="eastAsia" w:ascii="宋体" w:hAnsi="宋体"/>
          <w:color w:val="000000"/>
          <w:sz w:val="24"/>
          <w:szCs w:val="24"/>
        </w:rPr>
        <w:t xml:space="preserve">联合体参与磋商</w:t>
      </w:r>
      <w:r>
        <w:rPr>
          <w:rFonts w:hint="eastAsia" w:ascii="宋体" w:hAnsi="宋体"/>
          <w:sz w:val="24"/>
          <w:szCs w:val="24"/>
        </w:rPr>
        <w:t xml:space="preserve">。</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（二）本项目的特定资格要求：/</w:t>
      </w:r>
      <w:r/>
    </w:p>
    <w:p>
      <w:pPr>
        <w:ind w:firstLine="498"/>
        <w:keepLines/>
        <w:keepNext/>
        <w:pageBreakBefore w:val="0"/>
        <w:spacing w:before="145" w:after="145" w:line="460" w:lineRule="exact"/>
        <w:widowControl w:val="off"/>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w:t>
      </w:r>
      <w:bookmarkEnd w:id="21"/>
      <w:r/>
      <w:bookmarkEnd w:id="22"/>
      <w:r/>
      <w:bookmarkEnd w:id="23"/>
      <w:r/>
      <w:bookmarkEnd w:id="24"/>
      <w:r/>
      <w:bookmarkEnd w:id="25"/>
      <w:r>
        <w:rPr>
          <w:rFonts w:hint="eastAsia" w:ascii="Times New Roman" w:hAnsi="Times New Roman"/>
          <w:b/>
          <w:bCs/>
          <w:color w:val="000000"/>
          <w:sz w:val="32"/>
          <w:szCs w:val="32"/>
        </w:rPr>
        <w:t xml:space="preserve">磋商文件</w:t>
      </w:r>
      <w:r/>
    </w:p>
    <w:p>
      <w:pPr>
        <w:ind w:firstLine="540"/>
        <w:pageBreakBefore w:val="0"/>
        <w:spacing w:line="460" w:lineRule="exact"/>
        <w:widowControl w:val="off"/>
        <w:rPr>
          <w:rFonts w:ascii="宋体" w:hAnsi="宋体" w:cs="宋体"/>
          <w:b/>
          <w:color w:val="000000"/>
          <w:sz w:val="24"/>
          <w:szCs w:val="24"/>
        </w:rPr>
      </w:pPr>
      <w:r/>
      <w:bookmarkStart w:id="26" w:name="_Toc28359005"/>
      <w:r/>
      <w:bookmarkStart w:id="27" w:name="_Toc28359082"/>
      <w:r/>
      <w:bookmarkStart w:id="28" w:name="_Toc35393793"/>
      <w:r/>
      <w:bookmarkStart w:id="29" w:name="_Toc35393624"/>
      <w:r/>
      <w:bookmarkStart w:id="30" w:name="_Toc38985266"/>
      <w:r>
        <w:rPr>
          <w:rFonts w:hint="eastAsia" w:ascii="宋体" w:hAnsi="宋体" w:cs="宋体"/>
          <w:color w:val="000000"/>
          <w:sz w:val="24"/>
          <w:szCs w:val="24"/>
        </w:rPr>
        <w:t xml:space="preserve">1.时间：自磋商文件公告发布之日起至提交响应文件截止之日止。</w:t>
      </w:r>
      <w:r/>
    </w:p>
    <w:p>
      <w:pPr>
        <w:ind w:firstLine="540"/>
        <w:pageBreakBefore w:val="0"/>
        <w:spacing w:line="460" w:lineRule="exact"/>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2.方式：在“江苏政府采购网”自行免费下载磋商文件。</w:t>
      </w:r>
      <w:r/>
    </w:p>
    <w:p>
      <w:pPr>
        <w:ind w:firstLine="498"/>
        <w:keepLines/>
        <w:keepNext/>
        <w:pageBreakBefore w:val="0"/>
        <w:spacing w:before="145" w:after="145" w:line="460" w:lineRule="exact"/>
        <w:widowControl w:val="off"/>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w:t>
      </w:r>
      <w:bookmarkEnd w:id="26"/>
      <w:r/>
      <w:bookmarkEnd w:id="27"/>
      <w:r>
        <w:rPr>
          <w:rFonts w:hint="eastAsia" w:ascii="Times New Roman" w:hAnsi="Times New Roman"/>
          <w:b/>
          <w:bCs/>
          <w:color w:val="000000"/>
          <w:sz w:val="32"/>
          <w:szCs w:val="32"/>
        </w:rPr>
        <w:t xml:space="preserve">响应文件截止时间</w:t>
      </w:r>
      <w:bookmarkEnd w:id="28"/>
      <w:r/>
      <w:bookmarkEnd w:id="29"/>
      <w:r/>
      <w:bookmarkEnd w:id="30"/>
      <w:r/>
      <w:r/>
    </w:p>
    <w:p>
      <w:pPr>
        <w:ind w:firstLine="480"/>
        <w:pageBreakBefore w:val="0"/>
        <w:spacing w:line="460" w:lineRule="exact"/>
        <w:widowControl w:val="off"/>
        <w:rPr>
          <w:rFonts w:ascii="宋体" w:hAnsi="宋体"/>
          <w:bCs/>
          <w:color w:val="000000"/>
          <w:sz w:val="24"/>
          <w:szCs w:val="24"/>
          <w:u w:val="single"/>
        </w:rPr>
      </w:pPr>
      <w:r>
        <w:rPr>
          <w:rFonts w:hint="eastAsia" w:ascii="宋体" w:hAnsi="宋体"/>
          <w:bCs/>
          <w:color w:val="000000"/>
          <w:sz w:val="24"/>
          <w:szCs w:val="24"/>
          <w:u w:val="single"/>
        </w:rPr>
        <w:t xml:space="preserve">1、202</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23</w:t>
      </w:r>
      <w:r>
        <w:rPr>
          <w:rFonts w:hint="eastAsia" w:ascii="宋体" w:hAnsi="宋体"/>
          <w:bCs/>
          <w:color w:val="000000"/>
          <w:sz w:val="24"/>
          <w:szCs w:val="24"/>
          <w:u w:val="single"/>
        </w:rPr>
        <w:t xml:space="preserve">日14点00分</w:t>
      </w:r>
      <w:r>
        <w:rPr>
          <w:rFonts w:hint="eastAsia" w:ascii="宋体" w:hAnsi="宋体"/>
          <w:bCs/>
          <w:color w:val="000000"/>
          <w:sz w:val="24"/>
          <w:szCs w:val="24"/>
        </w:rPr>
        <w:t xml:space="preserve">（北京时间）。</w:t>
      </w:r>
      <w:r/>
    </w:p>
    <w:p>
      <w:pPr>
        <w:ind w:firstLine="498"/>
        <w:keepLines/>
        <w:keepNext/>
        <w:pageBreakBefore w:val="0"/>
        <w:spacing w:before="145" w:after="145" w:line="460" w:lineRule="exact"/>
        <w:widowControl w:val="off"/>
        <w:rPr>
          <w:rFonts w:ascii="Times New Roman" w:hAnsi="Times New Roman"/>
          <w:b/>
          <w:bCs/>
          <w:color w:val="000000"/>
          <w:sz w:val="32"/>
          <w:szCs w:val="32"/>
        </w:rPr>
        <w:outlineLvl w:val="2"/>
      </w:pPr>
      <w:r/>
      <w:bookmarkStart w:id="31" w:name="_Toc35393794"/>
      <w:r/>
      <w:bookmarkStart w:id="32" w:name="_Toc38985267"/>
      <w:r/>
      <w:bookmarkStart w:id="33" w:name="_Toc28359084"/>
      <w:r/>
      <w:bookmarkStart w:id="34" w:name="_Toc28359007"/>
      <w:r/>
      <w:bookmarkStart w:id="35" w:name="_Toc35393625"/>
      <w:r>
        <w:rPr>
          <w:rFonts w:hint="eastAsia" w:ascii="Times New Roman" w:hAnsi="Times New Roman"/>
          <w:b/>
          <w:bCs/>
          <w:color w:val="000000"/>
          <w:sz w:val="32"/>
          <w:szCs w:val="32"/>
        </w:rPr>
        <w:t xml:space="preserve">五、公告期限</w:t>
      </w:r>
      <w:bookmarkEnd w:id="31"/>
      <w:r/>
      <w:bookmarkEnd w:id="32"/>
      <w:r/>
      <w:bookmarkEnd w:id="33"/>
      <w:r/>
      <w:bookmarkEnd w:id="34"/>
      <w:r/>
      <w:bookmarkEnd w:id="35"/>
      <w:r/>
      <w:r/>
    </w:p>
    <w:p>
      <w:pPr>
        <w:ind w:firstLine="480"/>
        <w:pageBreakBefore w:val="0"/>
        <w:spacing w:line="460" w:lineRule="exact"/>
        <w:widowControl w:val="off"/>
        <w:rPr>
          <w:rFonts w:ascii="宋体" w:hAnsi="宋体" w:cs="宋体"/>
          <w:color w:val="000000"/>
          <w:sz w:val="24"/>
          <w:szCs w:val="24"/>
        </w:rPr>
      </w:pPr>
      <w:r/>
      <w:bookmarkStart w:id="36" w:name="_Toc35393626"/>
      <w:r/>
      <w:bookmarkStart w:id="37" w:name="_Toc35393795"/>
      <w:r/>
      <w:bookmarkStart w:id="38" w:name="_Toc38985268"/>
      <w:r>
        <w:rPr>
          <w:rFonts w:hint="eastAsia" w:ascii="宋体" w:hAnsi="宋体" w:cs="宋体"/>
          <w:color w:val="000000"/>
          <w:sz w:val="24"/>
          <w:szCs w:val="24"/>
        </w:rPr>
        <w:t xml:space="preserve">磋商公告及磋商文件公告期限为自本公告发布之日起</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个工作日。</w:t>
      </w:r>
      <w:r/>
    </w:p>
    <w:p>
      <w:pPr>
        <w:ind w:firstLine="498"/>
        <w:keepLines/>
        <w:keepNext/>
        <w:pageBreakBefore w:val="0"/>
        <w:spacing w:before="145" w:after="145" w:line="460" w:lineRule="exact"/>
        <w:widowControl w:val="off"/>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36"/>
      <w:r/>
      <w:bookmarkEnd w:id="37"/>
      <w:r/>
      <w:bookmarkEnd w:id="38"/>
      <w:r/>
      <w:r/>
    </w:p>
    <w:p>
      <w:pPr>
        <w:ind w:firstLine="480"/>
        <w:pageBreakBefore w:val="0"/>
        <w:spacing w:line="460" w:lineRule="exact"/>
        <w:widowControl w:val="off"/>
        <w:rPr>
          <w:rFonts w:ascii="宋体" w:hAnsi="宋体" w:cs="宋体"/>
          <w:color w:val="000000"/>
          <w:sz w:val="24"/>
          <w:szCs w:val="24"/>
        </w:rPr>
      </w:pPr>
      <w:r>
        <w:rPr>
          <w:rFonts w:hint="eastAsia" w:ascii="宋体" w:hAnsi="宋体" w:cs="宋体"/>
          <w:color w:val="000000"/>
          <w:sz w:val="24"/>
          <w:szCs w:val="24"/>
        </w:rPr>
        <w:t xml:space="preserve">无</w:t>
      </w:r>
      <w:r/>
    </w:p>
    <w:p>
      <w:pPr>
        <w:ind w:firstLine="498"/>
        <w:keepLines/>
        <w:keepNext/>
        <w:pageBreakBefore w:val="0"/>
        <w:spacing w:before="145" w:after="145" w:line="460" w:lineRule="exact"/>
        <w:widowControl w:val="off"/>
        <w:rPr>
          <w:rFonts w:ascii="Times New Roman" w:hAnsi="Times New Roman"/>
          <w:b/>
          <w:bCs/>
          <w:color w:val="000000"/>
          <w:sz w:val="32"/>
          <w:szCs w:val="32"/>
        </w:rPr>
        <w:outlineLvl w:val="2"/>
      </w:pPr>
      <w:r/>
      <w:bookmarkStart w:id="39" w:name="_Toc38985269"/>
      <w:r/>
      <w:bookmarkStart w:id="40" w:name="_Toc35393627"/>
      <w:r/>
      <w:bookmarkStart w:id="41" w:name="_Toc28359008"/>
      <w:r/>
      <w:bookmarkStart w:id="42" w:name="_Toc28359085"/>
      <w:r/>
      <w:bookmarkStart w:id="43" w:name="_Toc35393796"/>
      <w:r>
        <w:rPr>
          <w:rFonts w:hint="eastAsia" w:ascii="Times New Roman" w:hAnsi="Times New Roman"/>
          <w:b/>
          <w:bCs/>
          <w:color w:val="000000"/>
          <w:sz w:val="32"/>
          <w:szCs w:val="32"/>
        </w:rPr>
        <w:t xml:space="preserve">七、本次磋商联系方式</w:t>
      </w:r>
      <w:bookmarkEnd w:id="39"/>
      <w:r/>
      <w:bookmarkEnd w:id="40"/>
      <w:r/>
      <w:bookmarkEnd w:id="41"/>
      <w:r/>
      <w:bookmarkEnd w:id="42"/>
      <w:r/>
      <w:bookmarkEnd w:id="43"/>
      <w:r/>
      <w:r/>
    </w:p>
    <w:p>
      <w:pPr>
        <w:ind w:firstLine="48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1.采购人信息</w:t>
      </w:r>
      <w:r/>
    </w:p>
    <w:p>
      <w:pPr>
        <w:ind w:firstLine="480"/>
        <w:jc w:val="left"/>
        <w:keepLines w:val="0"/>
        <w:keepNext w:val="0"/>
        <w:pageBreakBefore w:val="0"/>
        <w:spacing w:line="460" w:lineRule="exact"/>
        <w:widowControl w:val="off"/>
        <w:rPr>
          <w:rFonts w:hint="eastAsia" w:ascii="宋体" w:hAnsi="宋体" w:eastAsia="宋体"/>
          <w:sz w:val="24"/>
          <w:szCs w:val="24"/>
          <w:lang w:eastAsia="zh-CN"/>
        </w:rPr>
      </w:pPr>
      <w:r/>
      <w:bookmarkStart w:id="44" w:name="_Toc28359009"/>
      <w:r/>
      <w:bookmarkStart w:id="45" w:name="_Toc28359086"/>
      <w:r>
        <w:rPr>
          <w:rFonts w:hint="eastAsia" w:ascii="宋体" w:hAnsi="宋体"/>
          <w:sz w:val="24"/>
          <w:szCs w:val="24"/>
        </w:rPr>
        <w:t xml:space="preserve">名 称：</w:t>
      </w:r>
      <w:r>
        <w:rPr>
          <w:rFonts w:hint="eastAsia" w:ascii="宋体" w:hAnsi="宋体"/>
          <w:bCs/>
          <w:sz w:val="24"/>
          <w:szCs w:val="24"/>
        </w:rPr>
        <w:t xml:space="preserve">兴化市</w:t>
      </w:r>
      <w:r>
        <w:rPr>
          <w:rFonts w:hint="eastAsia" w:ascii="宋体" w:hAnsi="宋体"/>
          <w:bCs/>
          <w:sz w:val="24"/>
          <w:szCs w:val="24"/>
          <w:lang w:eastAsia="zh-CN"/>
        </w:rPr>
        <w:t xml:space="preserve">水资源服务中心</w:t>
      </w:r>
      <w:r/>
    </w:p>
    <w:p>
      <w:pPr>
        <w:ind w:firstLine="48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地址： 兴化市丰收北路13号</w:t>
      </w:r>
      <w:r/>
    </w:p>
    <w:p>
      <w:pPr>
        <w:ind w:firstLine="480"/>
        <w:jc w:val="left"/>
        <w:keepLines w:val="0"/>
        <w:keepNext w:val="0"/>
        <w:pageBreakBefore w:val="0"/>
        <w:spacing w:line="460" w:lineRule="exact"/>
        <w:widowControl w:val="off"/>
        <w:rPr>
          <w:rFonts w:hint="default" w:ascii="宋体" w:hAnsi="宋体"/>
          <w:sz w:val="24"/>
          <w:szCs w:val="24"/>
          <w:lang w:val="en-US"/>
        </w:rPr>
      </w:pPr>
      <w:r>
        <w:rPr>
          <w:rFonts w:hint="eastAsia" w:ascii="宋体" w:hAnsi="宋体"/>
          <w:sz w:val="24"/>
          <w:szCs w:val="24"/>
        </w:rPr>
        <w:t xml:space="preserve">联系人：</w:t>
      </w:r>
      <w:r>
        <w:rPr>
          <w:rFonts w:hint="eastAsia" w:ascii="宋体" w:hAnsi="宋体"/>
          <w:sz w:val="24"/>
          <w:szCs w:val="24"/>
          <w:lang w:eastAsia="zh-CN"/>
        </w:rPr>
        <w:t xml:space="preserve">刘</w:t>
      </w:r>
      <w:r>
        <w:rPr>
          <w:rFonts w:hint="eastAsia" w:ascii="宋体" w:hAnsi="宋体"/>
          <w:sz w:val="24"/>
          <w:szCs w:val="24"/>
        </w:rPr>
        <w:t xml:space="preserve">先生  </w:t>
      </w:r>
      <w:r>
        <w:rPr>
          <w:rFonts w:hint="eastAsia" w:ascii="宋体" w:hAnsi="宋体"/>
          <w:sz w:val="24"/>
          <w:szCs w:val="24"/>
          <w:lang w:val="en-US" w:eastAsia="zh-CN"/>
        </w:rPr>
        <w:t xml:space="preserve">0523-83960969</w:t>
      </w:r>
      <w:r/>
    </w:p>
    <w:p>
      <w:pPr>
        <w:ind w:firstLine="480"/>
        <w:jc w:val="left"/>
        <w:keepLines w:val="0"/>
        <w:keepNext w:val="0"/>
        <w:pageBreakBefore w:val="0"/>
        <w:spacing w:line="460" w:lineRule="exact"/>
        <w:widowControl w:val="off"/>
        <w:rPr>
          <w:rFonts w:ascii="宋体" w:hAnsi="宋体"/>
          <w:sz w:val="24"/>
          <w:szCs w:val="24"/>
        </w:rPr>
      </w:pPr>
      <w:r>
        <w:rPr>
          <w:rFonts w:hint="eastAsia" w:ascii="宋体" w:hAnsi="宋体" w:cs="宋体"/>
          <w:sz w:val="24"/>
          <w:szCs w:val="24"/>
        </w:rPr>
        <w:t xml:space="preserve">2.泰州信诚招标代理有限公司</w:t>
      </w:r>
      <w:bookmarkEnd w:id="44"/>
      <w:r/>
      <w:bookmarkEnd w:id="45"/>
      <w:r/>
      <w:r/>
    </w:p>
    <w:p>
      <w:pPr>
        <w:ind w:firstLine="48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地　址：兴化市城投国际街区8号公馆622室</w:t>
      </w:r>
      <w:r/>
    </w:p>
    <w:p>
      <w:pPr>
        <w:ind w:firstLine="48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联系人：任先生</w:t>
      </w:r>
      <w:r>
        <w:rPr>
          <w:rFonts w:hint="eastAsia" w:ascii="宋体" w:hAnsi="宋体"/>
          <w:sz w:val="24"/>
          <w:szCs w:val="24"/>
          <w:lang w:val="en-US" w:eastAsia="zh-CN"/>
        </w:rPr>
        <w:t xml:space="preserve">    </w:t>
      </w:r>
      <w:r>
        <w:rPr>
          <w:rFonts w:hint="eastAsia" w:ascii="宋体" w:hAnsi="宋体"/>
          <w:sz w:val="24"/>
          <w:szCs w:val="24"/>
        </w:rPr>
        <w:t xml:space="preserve">025-83255858</w:t>
      </w:r>
      <w:r/>
    </w:p>
    <w:p>
      <w:pPr>
        <w:jc w:val="left"/>
        <w:pageBreakBefore w:val="0"/>
        <w:spacing w:line="460" w:lineRule="exact"/>
        <w:widowControl/>
        <w:rPr>
          <w:rFonts w:ascii="Times New Roman" w:hAnsi="Times New Roman"/>
          <w:b/>
          <w:bCs/>
          <w:color w:val="000000"/>
          <w:sz w:val="32"/>
          <w:szCs w:val="32"/>
        </w:rPr>
      </w:pPr>
      <w:r>
        <w:rPr>
          <w:rFonts w:hint="eastAsia" w:ascii="Times New Roman" w:hAnsi="Times New Roman"/>
          <w:b/>
          <w:bCs/>
          <w:color w:val="000000"/>
          <w:sz w:val="32"/>
          <w:szCs w:val="32"/>
        </w:rPr>
        <w:t xml:space="preserve">八、其他</w:t>
      </w:r>
      <w:r/>
    </w:p>
    <w:p>
      <w:pPr>
        <w:ind w:firstLine="482"/>
        <w:keepLines w:val="0"/>
        <w:keepNext w:val="0"/>
        <w:pageBreakBefore w:val="0"/>
        <w:spacing w:line="460" w:lineRule="exact"/>
        <w:widowControl w:val="off"/>
        <w:tabs>
          <w:tab w:val="left" w:pos="900" w:leader="none"/>
        </w:tabs>
        <w:rPr>
          <w:rFonts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 有关本次招标的事项若存在变动或修改，敬请及时关注泰州信诚招标代理有限公司在“江苏政府采购网”发布的更正公告。</w:t>
      </w:r>
      <w:r/>
    </w:p>
    <w:p>
      <w:pPr>
        <w:ind w:firstLine="482"/>
        <w:keepLines w:val="0"/>
        <w:keepNext w:val="0"/>
        <w:pageBreakBefore w:val="0"/>
        <w:spacing w:line="460" w:lineRule="exact"/>
        <w:widowControl w:val="off"/>
        <w:tabs>
          <w:tab w:val="left" w:pos="900" w:leader="none"/>
        </w:tabs>
        <w:rPr>
          <w:rFonts w:hint="eastAsia" w:ascii="宋体" w:hAnsi="宋体"/>
          <w:bCs/>
          <w:sz w:val="24"/>
          <w:szCs w:val="24"/>
        </w:rPr>
      </w:pPr>
      <w:r>
        <w:rPr>
          <w:rFonts w:hint="eastAsia" w:ascii="宋体" w:hAnsi="宋体"/>
          <w:bCs/>
          <w:sz w:val="24"/>
          <w:szCs w:val="24"/>
        </w:rPr>
        <w:t xml:space="preserve">2. 本次招标不收取投标保证金。</w:t>
      </w:r>
      <w:r/>
    </w:p>
    <w:p>
      <w:pPr>
        <w:pStyle w:val="715"/>
        <w:rPr>
          <w:rFonts w:hint="eastAsia" w:ascii="宋体" w:hAnsi="宋体"/>
          <w:bCs/>
          <w:sz w:val="24"/>
          <w:szCs w:val="24"/>
        </w:rPr>
      </w:pPr>
      <w:r>
        <w:rPr>
          <w:rFonts w:hint="eastAsia" w:ascii="宋体" w:hAnsi="宋体"/>
          <w:bCs/>
          <w:sz w:val="24"/>
          <w:szCs w:val="24"/>
        </w:rPr>
      </w:r>
      <w:r/>
    </w:p>
    <w:p>
      <w:pPr>
        <w:jc w:val="center"/>
        <w:keepLines/>
        <w:keepNext/>
        <w:spacing w:line="240" w:lineRule="auto"/>
        <w:rPr>
          <w:rFonts w:ascii="黑体" w:hAnsi="Arial" w:eastAsia="黑体" w:cs="Arial"/>
          <w:color w:val="000000"/>
          <w:sz w:val="44"/>
          <w:szCs w:val="44"/>
        </w:rPr>
        <w:outlineLvl w:val="1"/>
      </w:pPr>
      <w:r/>
      <w:bookmarkStart w:id="46"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6"/>
      <w:r>
        <w:rPr>
          <w:rFonts w:hint="eastAsia" w:ascii="黑体" w:hAnsi="Arial" w:eastAsia="黑体" w:cs="Arial"/>
          <w:b/>
          <w:bCs/>
          <w:color w:val="000000"/>
          <w:sz w:val="44"/>
          <w:szCs w:val="44"/>
        </w:rPr>
        <w:t xml:space="preserve">供应商须知</w:t>
      </w:r>
      <w:r/>
    </w:p>
    <w:p>
      <w:pPr>
        <w:ind w:firstLine="498"/>
        <w:keepLines/>
        <w:keepNext/>
        <w:spacing w:before="145" w:after="145" w:line="360" w:lineRule="auto"/>
        <w:rPr>
          <w:rFonts w:ascii="Times New Roman" w:hAnsi="Times New Roman"/>
          <w:b/>
          <w:bCs/>
          <w:color w:val="000000"/>
          <w:sz w:val="32"/>
          <w:szCs w:val="32"/>
        </w:rPr>
        <w:outlineLvl w:val="2"/>
      </w:pPr>
      <w:r/>
      <w:bookmarkStart w:id="47" w:name="_Toc120614214"/>
      <w:r/>
      <w:bookmarkStart w:id="48" w:name="_Toc16938519"/>
      <w:r/>
      <w:bookmarkStart w:id="49" w:name="_Toc20823275"/>
      <w:r/>
      <w:bookmarkStart w:id="50" w:name="_Toc513029203"/>
      <w:r>
        <w:rPr>
          <w:rFonts w:hint="eastAsia" w:ascii="Times New Roman" w:hAnsi="Times New Roman"/>
          <w:b/>
          <w:bCs/>
          <w:color w:val="000000"/>
          <w:sz w:val="32"/>
          <w:szCs w:val="32"/>
        </w:rPr>
        <w:t xml:space="preserve">一、总则</w:t>
      </w:r>
      <w:bookmarkEnd w:id="47"/>
      <w:r/>
      <w:bookmarkEnd w:id="48"/>
      <w:r/>
      <w:bookmarkEnd w:id="49"/>
      <w:r/>
      <w:bookmarkEnd w:id="50"/>
      <w:r/>
      <w:r/>
    </w:p>
    <w:p>
      <w:pPr>
        <w:ind w:firstLine="420"/>
        <w:keepLines/>
        <w:keepNext/>
        <w:rPr>
          <w:rFonts w:ascii="Arial" w:hAnsi="Arial" w:eastAsia="黑体" w:cs="Arial"/>
          <w:color w:val="000000"/>
          <w:sz w:val="28"/>
          <w:szCs w:val="28"/>
        </w:rPr>
        <w:outlineLvl w:val="3"/>
      </w:pPr>
      <w:r/>
      <w:bookmarkStart w:id="51" w:name="_Hlt16619475"/>
      <w:r/>
      <w:bookmarkEnd w:id="51"/>
      <w:r/>
      <w:bookmarkStart w:id="52" w:name="_Toc458694821"/>
      <w:r/>
      <w:bookmarkStart w:id="53" w:name="_Toc16938520"/>
      <w:r/>
      <w:bookmarkStart w:id="54" w:name="_Toc20823276"/>
      <w:r/>
      <w:bookmarkStart w:id="55" w:name="_Toc513029204"/>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、采购方式</w:t>
      </w:r>
      <w:bookmarkEnd w:id="53"/>
      <w:r/>
      <w:bookmarkEnd w:id="54"/>
      <w:r/>
      <w:bookmarkEnd w:id="55"/>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color w:val="000000"/>
          <w:sz w:val="28"/>
          <w:szCs w:val="28"/>
        </w:rPr>
        <w:outlineLvl w:val="3"/>
      </w:pPr>
      <w:r/>
      <w:bookmarkStart w:id="56" w:name="_Toc16938521"/>
      <w:r/>
      <w:bookmarkStart w:id="57" w:name="_Toc20823277"/>
      <w:r/>
      <w:bookmarkStart w:id="58" w:name="_Toc513029205"/>
      <w:r>
        <w:rPr>
          <w:rFonts w:hint="eastAsia" w:ascii="Arial" w:hAnsi="Arial" w:eastAsia="黑体" w:cs="Arial"/>
          <w:color w:val="000000"/>
          <w:sz w:val="28"/>
          <w:szCs w:val="28"/>
        </w:rPr>
        <w:t xml:space="preserve">2、合格的</w:t>
      </w:r>
      <w:bookmarkEnd w:id="56"/>
      <w:r/>
      <w:bookmarkEnd w:id="57"/>
      <w:r/>
      <w:bookmarkEnd w:id="58"/>
      <w:r>
        <w:rPr>
          <w:rFonts w:hint="eastAsia" w:ascii="Arial" w:hAnsi="Arial" w:eastAsia="黑体" w:cs="Arial"/>
          <w:color w:val="000000"/>
          <w:sz w:val="28"/>
          <w:szCs w:val="28"/>
        </w:rPr>
        <w:t xml:space="preserve">供应商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2.1满足磋商公告中供应商资格要求的规定。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满足本磋商文件实质性要求的规定。</w:t>
      </w:r>
      <w:r/>
    </w:p>
    <w:p>
      <w:pPr>
        <w:ind w:firstLine="420"/>
        <w:keepLines/>
        <w:keepNext/>
        <w:rPr>
          <w:rFonts w:ascii="Arial" w:hAnsi="Arial" w:eastAsia="黑体" w:cs="Arial"/>
          <w:color w:val="000000"/>
          <w:sz w:val="28"/>
          <w:szCs w:val="28"/>
        </w:rPr>
        <w:outlineLvl w:val="3"/>
      </w:pPr>
      <w:r/>
      <w:bookmarkStart w:id="59" w:name="_Toc16938522"/>
      <w:r/>
      <w:bookmarkStart w:id="60" w:name="_Toc20823278"/>
      <w:r/>
      <w:bookmarkStart w:id="61" w:name="_Toc513029206"/>
      <w:r>
        <w:rPr>
          <w:rFonts w:hint="eastAsia" w:ascii="Arial" w:hAnsi="Arial" w:eastAsia="黑体" w:cs="Arial"/>
          <w:color w:val="000000"/>
          <w:sz w:val="28"/>
          <w:szCs w:val="28"/>
        </w:rPr>
        <w:t xml:space="preserve">3、适用法律</w:t>
      </w:r>
      <w:bookmarkEnd w:id="59"/>
      <w:r/>
      <w:bookmarkEnd w:id="60"/>
      <w:r/>
      <w:bookmarkEnd w:id="61"/>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ascii="宋体" w:hAnsi="宋体"/>
          <w:color w:val="000000"/>
          <w:sz w:val="24"/>
          <w:szCs w:val="21"/>
        </w:rPr>
        <w:t xml:space="preserve">。</w:t>
      </w:r>
      <w:r/>
    </w:p>
    <w:p>
      <w:pPr>
        <w:ind w:firstLine="420"/>
        <w:keepLines/>
        <w:keepNext/>
        <w:rPr>
          <w:rFonts w:ascii="Arial" w:hAnsi="Arial" w:eastAsia="黑体" w:cs="Arial"/>
          <w:color w:val="000000"/>
          <w:sz w:val="28"/>
          <w:szCs w:val="28"/>
        </w:rPr>
        <w:outlineLvl w:val="3"/>
      </w:pPr>
      <w:r/>
      <w:bookmarkStart w:id="62" w:name="_Toc513029207"/>
      <w:r/>
      <w:bookmarkStart w:id="63" w:name="_Toc16938523"/>
      <w:r/>
      <w:bookmarkStart w:id="64" w:name="_Toc462564067"/>
      <w:r/>
      <w:bookmarkStart w:id="65" w:name="_Toc20823279"/>
      <w:r>
        <w:rPr>
          <w:rFonts w:hint="eastAsia" w:ascii="Arial" w:hAnsi="Arial" w:eastAsia="黑体" w:cs="Arial"/>
          <w:color w:val="000000"/>
          <w:sz w:val="28"/>
          <w:szCs w:val="28"/>
        </w:rPr>
        <w:t xml:space="preserve">4、磋商费用</w:t>
      </w:r>
      <w:bookmarkEnd w:id="62"/>
      <w:r/>
      <w:bookmarkEnd w:id="63"/>
      <w:r/>
      <w:bookmarkEnd w:id="64"/>
      <w:r/>
      <w:bookmarkEnd w:id="65"/>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供应商应自行承担所有与参加本次磋商有关的费用，无论磋商过程中的做法和结果如何，泰州信诚招标代理有限公司（以下简称信诚代理）在任何情况下均无义务和责任承担这些费用。</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4.2本次磋商代理公司和采购人不收取标书工本费。</w:t>
      </w:r>
      <w:r/>
    </w:p>
    <w:p>
      <w:pPr>
        <w:ind w:firstLine="480"/>
        <w:spacing w:line="500" w:lineRule="exact"/>
        <w:rPr>
          <w:rFonts w:ascii="宋体" w:hAnsi="宋体"/>
          <w:sz w:val="24"/>
          <w:szCs w:val="21"/>
        </w:rPr>
      </w:pPr>
      <w:r>
        <w:rPr>
          <w:rFonts w:hint="eastAsia" w:ascii="宋体" w:hAnsi="宋体"/>
          <w:sz w:val="24"/>
          <w:szCs w:val="21"/>
        </w:rPr>
        <w:t xml:space="preserve">4.3合同签订前，中标（成交）供应商应向信诚代理交纳采购代理服务费，由中标（成交）供应商领取《中标（成交）通知书》时向信诚代理缴纳，中标（成交）供应商凭《中标（成交）通知书》与采购人签订合同。本次采购活动按照</w:t>
      </w:r>
      <w:r>
        <w:rPr>
          <w:rFonts w:hint="eastAsia" w:ascii="宋体" w:hAnsi="宋体"/>
          <w:sz w:val="24"/>
          <w:szCs w:val="21"/>
          <w:u w:val="single"/>
        </w:rPr>
        <w:t xml:space="preserve"> 4.4服务项目 </w:t>
      </w:r>
      <w:r>
        <w:rPr>
          <w:rFonts w:hint="eastAsia" w:ascii="宋体" w:hAnsi="宋体"/>
          <w:sz w:val="24"/>
          <w:szCs w:val="21"/>
        </w:rPr>
        <w:t xml:space="preserve"> 标准按成交金额计算采购代理服务费。最低收费5000元。此项费用不单独开列而应计入投标报价。</w:t>
      </w:r>
      <w:r/>
    </w:p>
    <w:p>
      <w:pPr>
        <w:ind w:firstLine="480"/>
        <w:spacing w:line="500" w:lineRule="exact"/>
        <w:rPr>
          <w:rFonts w:ascii="宋体" w:hAnsi="宋体"/>
          <w:sz w:val="24"/>
          <w:szCs w:val="21"/>
        </w:rPr>
      </w:pPr>
      <w:r>
        <w:rPr>
          <w:rFonts w:hint="eastAsia" w:ascii="宋体" w:hAnsi="宋体"/>
          <w:sz w:val="24"/>
          <w:szCs w:val="21"/>
        </w:rPr>
        <w:t xml:space="preserve">4.4按照“《江苏省政府采购代理服务收费指导意见》的通知（苏政采协【2024】20号）”文件标准收取，采购代理服务费按中标（成交）金额差额定率累进法计算:附：</w:t>
      </w:r>
      <w:r/>
    </w:p>
    <w:p>
      <w:pPr>
        <w:pStyle w:val="747"/>
        <w:jc w:val="center"/>
        <w:spacing w:line="27" w:lineRule="atLeast"/>
      </w:pPr>
      <w:r>
        <w:rPr>
          <w:b/>
          <w:bCs/>
        </w:rPr>
        <w:t xml:space="preserve">招标代理服务收费标准</w:t>
      </w:r>
      <w:r>
        <w:t xml:space="preserve"> </w:t>
      </w:r>
      <w:r/>
    </w:p>
    <w:tbl>
      <w:tblPr>
        <w:tblStyle w:val="7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87"/>
        <w:gridCol w:w="3369"/>
      </w:tblGrid>
      <w:tr>
        <w:trPr/>
        <w:tc>
          <w:tcPr>
            <w:tcW w:w="3218" w:type="pct"/>
            <w:textDirection w:val="lrTb"/>
            <w:noWrap w:val="false"/>
          </w:tcPr>
          <w:p>
            <w:pPr>
              <w:jc w:val="center"/>
              <w:spacing w:line="360" w:lineRule="auto"/>
              <w:widowControl/>
              <w:rPr>
                <w:rFonts w:cs="Calibri"/>
                <w:color w:val="000000"/>
                <w:sz w:val="24"/>
                <w:szCs w:val="24"/>
                <w:lang w:bidi="ar"/>
              </w:rPr>
            </w:pPr>
            <w:r>
              <w:rPr>
                <w:rFonts w:hint="eastAsia" w:cs="Calibri"/>
                <w:color w:val="000000"/>
                <w:sz w:val="24"/>
                <w:szCs w:val="24"/>
                <w:lang w:bidi="ar"/>
              </w:rPr>
              <w:t xml:space="preserve">中标或者成交金额</w:t>
            </w:r>
            <w:r/>
          </w:p>
        </w:tc>
        <w:tc>
          <w:tcPr>
            <w:tcW w:w="1781" w:type="pct"/>
            <w:textDirection w:val="lrTb"/>
            <w:noWrap w:val="false"/>
          </w:tcPr>
          <w:p>
            <w:pPr>
              <w:jc w:val="center"/>
              <w:spacing w:line="360" w:lineRule="auto"/>
              <w:widowControl/>
              <w:rPr>
                <w:rFonts w:cs="Calibri"/>
                <w:color w:val="000000"/>
                <w:sz w:val="24"/>
                <w:szCs w:val="24"/>
                <w:lang w:bidi="ar"/>
              </w:rPr>
            </w:pPr>
            <w:r>
              <w:rPr>
                <w:rFonts w:hint="eastAsia" w:cs="Calibri"/>
                <w:color w:val="000000"/>
                <w:sz w:val="24"/>
                <w:szCs w:val="24"/>
                <w:lang w:bidi="ar"/>
              </w:rPr>
              <w:t xml:space="preserve">费率</w:t>
            </w:r>
            <w:r/>
          </w:p>
        </w:tc>
      </w:tr>
      <w:tr>
        <w:trPr/>
        <w:tc>
          <w:tcPr>
            <w:tcW w:w="3218" w:type="pct"/>
            <w:textDirection w:val="lrTb"/>
            <w:noWrap w:val="false"/>
          </w:tcPr>
          <w:p>
            <w:pPr>
              <w:jc w:val="center"/>
              <w:spacing w:line="360" w:lineRule="auto"/>
              <w:widowControl/>
              <w:rPr>
                <w:rFonts w:cs="Calibri"/>
                <w:color w:val="000000"/>
                <w:sz w:val="24"/>
                <w:szCs w:val="24"/>
                <w:lang w:bidi="ar"/>
              </w:rPr>
            </w:pPr>
            <w:r>
              <w:rPr>
                <w:rFonts w:hint="eastAsia" w:cs="Calibri"/>
                <w:color w:val="000000"/>
                <w:sz w:val="24"/>
                <w:szCs w:val="24"/>
                <w:lang w:bidi="ar"/>
              </w:rPr>
              <w:t xml:space="preserve">最低收费金额(每个委托项目)</w:t>
            </w:r>
            <w:r/>
          </w:p>
        </w:tc>
        <w:tc>
          <w:tcPr>
            <w:tcW w:w="1781" w:type="pct"/>
            <w:textDirection w:val="lrTb"/>
            <w:noWrap w:val="false"/>
          </w:tcPr>
          <w:p>
            <w:pPr>
              <w:jc w:val="center"/>
              <w:spacing w:line="360" w:lineRule="auto"/>
              <w:widowControl/>
              <w:rPr>
                <w:rFonts w:cs="Calibri"/>
                <w:color w:val="000000"/>
                <w:sz w:val="24"/>
                <w:szCs w:val="24"/>
                <w:lang w:bidi="ar"/>
              </w:rPr>
            </w:pPr>
            <w:r>
              <w:rPr>
                <w:rFonts w:hint="eastAsia" w:cs="Calibri"/>
                <w:color w:val="000000"/>
                <w:sz w:val="24"/>
                <w:szCs w:val="24"/>
                <w:lang w:bidi="ar"/>
              </w:rPr>
              <w:t xml:space="preserve">5000</w:t>
            </w:r>
            <w:r/>
          </w:p>
        </w:tc>
      </w:tr>
      <w:tr>
        <w:trPr/>
        <w:tc>
          <w:tcPr>
            <w:tcW w:w="3218" w:type="pct"/>
            <w:textDirection w:val="lrTb"/>
            <w:noWrap w:val="false"/>
          </w:tcPr>
          <w:p>
            <w:pPr>
              <w:jc w:val="center"/>
              <w:spacing w:line="360" w:lineRule="auto"/>
              <w:widowControl/>
              <w:rPr>
                <w:rFonts w:cs="Calibri"/>
                <w:color w:val="000000"/>
                <w:sz w:val="24"/>
                <w:szCs w:val="24"/>
                <w:lang w:bidi="ar"/>
              </w:rPr>
            </w:pPr>
            <w:r>
              <w:rPr>
                <w:rFonts w:hint="eastAsia" w:cs="Calibri"/>
                <w:color w:val="000000"/>
                <w:sz w:val="24"/>
                <w:szCs w:val="24"/>
                <w:lang w:bidi="ar"/>
              </w:rPr>
              <w:t xml:space="preserve">50 万元以下(含 50 万元)</w:t>
            </w:r>
            <w:r/>
          </w:p>
        </w:tc>
        <w:tc>
          <w:tcPr>
            <w:tcW w:w="1781" w:type="pct"/>
            <w:textDirection w:val="lrTb"/>
            <w:noWrap w:val="false"/>
          </w:tcPr>
          <w:p>
            <w:pPr>
              <w:jc w:val="center"/>
              <w:spacing w:line="360" w:lineRule="auto"/>
              <w:widowControl/>
              <w:rPr>
                <w:rFonts w:cs="Calibri"/>
                <w:color w:val="000000"/>
                <w:sz w:val="24"/>
                <w:szCs w:val="24"/>
                <w:lang w:bidi="ar"/>
              </w:rPr>
            </w:pPr>
            <w:r>
              <w:rPr>
                <w:rFonts w:hint="eastAsia" w:cs="Calibri"/>
                <w:color w:val="000000"/>
                <w:sz w:val="24"/>
                <w:szCs w:val="24"/>
                <w:lang w:bidi="ar"/>
              </w:rPr>
              <w:t xml:space="preserve">1.6%</w:t>
            </w:r>
            <w:r/>
          </w:p>
        </w:tc>
      </w:tr>
      <w:tr>
        <w:trPr/>
        <w:tc>
          <w:tcPr>
            <w:tcW w:w="3218" w:type="pct"/>
            <w:textDirection w:val="lrTb"/>
            <w:noWrap w:val="false"/>
          </w:tcPr>
          <w:p>
            <w:pPr>
              <w:jc w:val="center"/>
              <w:spacing w:line="360" w:lineRule="auto"/>
              <w:widowControl/>
              <w:rPr>
                <w:rFonts w:cs="Calibri"/>
                <w:color w:val="000000"/>
                <w:sz w:val="24"/>
                <w:szCs w:val="24"/>
                <w:lang w:bidi="ar"/>
              </w:rPr>
            </w:pPr>
            <w:r>
              <w:rPr>
                <w:rFonts w:hint="eastAsia" w:cs="Calibri"/>
                <w:color w:val="000000"/>
                <w:sz w:val="24"/>
                <w:szCs w:val="24"/>
                <w:lang w:bidi="ar"/>
              </w:rPr>
              <w:t xml:space="preserve">50-400万元(含400万元)</w:t>
            </w:r>
            <w:r/>
          </w:p>
        </w:tc>
        <w:tc>
          <w:tcPr>
            <w:tcW w:w="1781" w:type="pct"/>
            <w:textDirection w:val="lrTb"/>
            <w:noWrap w:val="false"/>
          </w:tcPr>
          <w:p>
            <w:pPr>
              <w:jc w:val="center"/>
              <w:spacing w:line="360" w:lineRule="auto"/>
              <w:widowControl/>
              <w:rPr>
                <w:rFonts w:cs="Calibri"/>
                <w:color w:val="000000"/>
                <w:sz w:val="24"/>
                <w:szCs w:val="24"/>
                <w:lang w:bidi="ar"/>
              </w:rPr>
            </w:pPr>
            <w:r>
              <w:rPr>
                <w:rFonts w:hint="eastAsia" w:cs="Calibri"/>
                <w:color w:val="000000"/>
                <w:sz w:val="24"/>
                <w:szCs w:val="24"/>
                <w:lang w:bidi="ar"/>
              </w:rPr>
              <w:t xml:space="preserve">1.5%</w:t>
            </w:r>
            <w:r/>
          </w:p>
        </w:tc>
      </w:tr>
    </w:tbl>
    <w:p>
      <w:pPr>
        <w:pStyle w:val="747"/>
        <w:spacing w:line="400" w:lineRule="atLeast"/>
      </w:pPr>
      <w:r>
        <w:rPr>
          <w:rFonts w:hint="eastAsia"/>
        </w:rPr>
        <w:t xml:space="preserve">注：①按本表费率计算的收费为招标代理服务全过程的收费基准价格，不含工程量清单、招标工程最高投标限价(招标控制价)或工程标底的编制费用。  </w:t>
      </w:r>
      <w:r/>
    </w:p>
    <w:p>
      <w:pPr>
        <w:ind w:firstLine="301"/>
        <w:keepLines/>
        <w:keepNext/>
        <w:spacing w:line="48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磋商文件的约束力</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供应商一旦参加本项目采购活动，即被认为接受了本磋商文件的规定和约束。</w:t>
      </w:r>
      <w:r/>
    </w:p>
    <w:p>
      <w:pPr>
        <w:ind w:firstLine="321"/>
        <w:keepLines/>
        <w:keepNext/>
        <w:spacing w:before="145" w:after="145" w:line="360" w:lineRule="auto"/>
        <w:rPr>
          <w:rFonts w:ascii="Times New Roman" w:hAnsi="Times New Roman"/>
          <w:b/>
          <w:bCs/>
          <w:color w:val="000000"/>
          <w:sz w:val="32"/>
          <w:szCs w:val="32"/>
        </w:rPr>
        <w:outlineLvl w:val="2"/>
      </w:pPr>
      <w:r/>
      <w:bookmarkStart w:id="66" w:name="_Toc120614215"/>
      <w:r/>
      <w:bookmarkStart w:id="67" w:name="_Toc20823281"/>
      <w:r/>
      <w:bookmarkStart w:id="68" w:name="_Toc513029209"/>
      <w:r/>
      <w:bookmarkStart w:id="69" w:name="_Toc16938525"/>
      <w:r>
        <w:rPr>
          <w:rFonts w:hint="eastAsia" w:ascii="Times New Roman" w:hAnsi="Times New Roman"/>
          <w:b/>
          <w:bCs/>
          <w:color w:val="000000"/>
          <w:sz w:val="32"/>
          <w:szCs w:val="32"/>
        </w:rPr>
        <w:t xml:space="preserve">二、</w:t>
      </w:r>
      <w:bookmarkEnd w:id="66"/>
      <w:r/>
      <w:bookmarkEnd w:id="67"/>
      <w:r/>
      <w:bookmarkEnd w:id="68"/>
      <w:r/>
      <w:bookmarkEnd w:id="69"/>
      <w:r>
        <w:rPr>
          <w:rFonts w:hint="eastAsia" w:ascii="Times New Roman" w:hAnsi="Times New Roman"/>
          <w:b/>
          <w:bCs/>
          <w:color w:val="000000"/>
          <w:sz w:val="32"/>
          <w:szCs w:val="32"/>
        </w:rPr>
        <w:t xml:space="preserve">磋商文件</w:t>
      </w:r>
      <w:r/>
    </w:p>
    <w:p>
      <w:pPr>
        <w:ind w:firstLine="420"/>
        <w:keepLines/>
        <w:keepNext/>
        <w:rPr>
          <w:rFonts w:ascii="Arial" w:hAnsi="Arial" w:eastAsia="黑体" w:cs="Arial"/>
          <w:color w:val="000000"/>
          <w:sz w:val="28"/>
          <w:szCs w:val="28"/>
        </w:rPr>
        <w:outlineLvl w:val="3"/>
      </w:pPr>
      <w:r/>
      <w:bookmarkStart w:id="70" w:name="_Toc513029210"/>
      <w:r/>
      <w:bookmarkStart w:id="71" w:name="_Toc16938526"/>
      <w:r/>
      <w:bookmarkStart w:id="72" w:name="_Toc20823282"/>
      <w:r>
        <w:rPr>
          <w:rFonts w:hint="eastAsia" w:ascii="Arial" w:hAnsi="Arial" w:eastAsia="黑体" w:cs="Arial"/>
          <w:color w:val="000000"/>
          <w:sz w:val="28"/>
          <w:szCs w:val="28"/>
        </w:rPr>
        <w:t xml:space="preserve">6、磋商文件构成</w:t>
      </w:r>
      <w:bookmarkEnd w:id="70"/>
      <w:r/>
      <w:bookmarkEnd w:id="71"/>
      <w:r/>
      <w:bookmarkEnd w:id="72"/>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（1）磋商</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（2）供应商须知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（5）评审方法与评审标准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（6）响应文件格式</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请仔细检查磋商文件是否齐全，如有缺漏请立即与信诚代理联系解决。</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Arial" w:hAnsi="Arial" w:eastAsia="黑体" w:cs="Arial"/>
          <w:color w:val="000000"/>
          <w:sz w:val="28"/>
          <w:szCs w:val="28"/>
        </w:rPr>
        <w:outlineLvl w:val="3"/>
      </w:pPr>
      <w:r/>
      <w:bookmarkStart w:id="73" w:name="_Toc20823283"/>
      <w:r/>
      <w:bookmarkStart w:id="74" w:name="_Toc513029211"/>
      <w:r/>
      <w:bookmarkStart w:id="75" w:name="_Toc462564070"/>
      <w:r/>
      <w:bookmarkStart w:id="76" w:name="_Toc16938527"/>
      <w:r>
        <w:rPr>
          <w:rFonts w:hint="eastAsia" w:ascii="Arial" w:hAnsi="Arial" w:eastAsia="黑体" w:cs="Arial"/>
          <w:color w:val="000000"/>
          <w:sz w:val="28"/>
          <w:szCs w:val="28"/>
        </w:rPr>
        <w:t xml:space="preserve">7、磋商文件的澄清</w:t>
      </w:r>
      <w:bookmarkEnd w:id="73"/>
      <w:r/>
      <w:bookmarkEnd w:id="74"/>
      <w:r/>
      <w:bookmarkEnd w:id="75"/>
      <w:r/>
      <w:bookmarkEnd w:id="76"/>
      <w:r/>
      <w:r/>
    </w:p>
    <w:p>
      <w:pPr>
        <w:ind w:firstLine="480"/>
        <w:spacing w:line="480" w:lineRule="exact"/>
        <w:rPr>
          <w:rFonts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任何要求对磋商文件进行澄清的供应商，应在磋商截止期5日</w:t>
      </w:r>
      <w:r>
        <w:rPr>
          <w:rFonts w:hint="eastAsia" w:ascii="仿宋_GB2312" w:hAnsi="仿宋_GB2312"/>
          <w:color w:val="000000"/>
          <w:sz w:val="24"/>
          <w:szCs w:val="24"/>
        </w:rPr>
        <w:t xml:space="preserve">前</w:t>
      </w:r>
      <w:r>
        <w:rPr>
          <w:rFonts w:hint="eastAsia" w:ascii="宋体" w:hAnsi="宋体"/>
          <w:color w:val="000000"/>
          <w:sz w:val="24"/>
          <w:szCs w:val="21"/>
        </w:rPr>
        <w:t xml:space="preserve">按磋商公告中的通讯地址，以书面形式通知代理公司。</w:t>
      </w:r>
      <w:r/>
    </w:p>
    <w:p>
      <w:pPr>
        <w:ind w:firstLine="560"/>
        <w:keepLines/>
        <w:keepNext/>
        <w:rPr>
          <w:rFonts w:ascii="Arial" w:hAnsi="Arial" w:eastAsia="黑体" w:cs="Arial"/>
          <w:color w:val="000000"/>
          <w:sz w:val="28"/>
          <w:szCs w:val="28"/>
        </w:rPr>
        <w:outlineLvl w:val="3"/>
      </w:pPr>
      <w:r/>
      <w:bookmarkStart w:id="77" w:name="_Toc20823284"/>
      <w:r/>
      <w:bookmarkStart w:id="78" w:name="_Toc462564071"/>
      <w:r/>
      <w:bookmarkStart w:id="79" w:name="_Toc16938528"/>
      <w:r/>
      <w:bookmarkStart w:id="80" w:name="_Toc513029212"/>
      <w:r>
        <w:rPr>
          <w:rFonts w:hint="eastAsia" w:ascii="Arial" w:hAnsi="Arial" w:eastAsia="黑体" w:cs="Arial"/>
          <w:color w:val="000000"/>
          <w:sz w:val="28"/>
          <w:szCs w:val="28"/>
        </w:rPr>
        <w:t xml:space="preserve">8、磋商文件的澄清和修改</w:t>
      </w:r>
      <w:bookmarkEnd w:id="77"/>
      <w:r/>
      <w:bookmarkEnd w:id="78"/>
      <w:r/>
      <w:bookmarkEnd w:id="79"/>
      <w:r/>
      <w:bookmarkEnd w:id="80"/>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在响应文件提交截止时间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，代理公司可以对磋商文件进行澄清和修改,</w:t>
      </w:r>
      <w:r>
        <w:rPr>
          <w:rFonts w:hint="eastAsia" w:ascii="Times New Roman" w:hAnsi="Times New Roman"/>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代理公司将在提交首次响应文件截止时间至少5日前，在“江苏政府采购网”上发布书面更正公告形式通知所有获取磋商文件的供应商,</w:t>
      </w:r>
      <w:r>
        <w:rPr>
          <w:rFonts w:hint="eastAsia" w:ascii="Times New Roman" w:hAnsi="Times New Roman"/>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更正公告内容将作为磋商文件的组成部分，并对供应商具有约束力。不足5日的，代理公司将顺延提交首次响应文件截止时间。</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8.2代理公司可以视采购项目的具体情况，组织供应商进行现场考察或召开磋商前答疑会，但不单独或分别组织只有一个供应商参加的现场考察和答疑会。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ascii="Times New Roman" w:hAnsi="Times New Roman"/>
          <w:b/>
          <w:bCs/>
          <w:color w:val="000000"/>
          <w:sz w:val="32"/>
          <w:szCs w:val="32"/>
        </w:rPr>
        <w:outlineLvl w:val="2"/>
      </w:pPr>
      <w:r/>
      <w:bookmarkStart w:id="81" w:name="_Toc120614216"/>
      <w:r/>
      <w:bookmarkStart w:id="82" w:name="_Toc20823285"/>
      <w:r/>
      <w:bookmarkStart w:id="83" w:name="_Toc16938529"/>
      <w:r/>
      <w:bookmarkStart w:id="84" w:name="_Toc513029213"/>
      <w:r/>
      <w:bookmarkStart w:id="85" w:name="_Toc462564072"/>
      <w:r>
        <w:rPr>
          <w:rFonts w:hint="eastAsia" w:ascii="Times New Roman" w:hAnsi="Times New Roman"/>
          <w:b/>
          <w:bCs/>
          <w:color w:val="000000"/>
          <w:sz w:val="32"/>
          <w:szCs w:val="32"/>
        </w:rPr>
        <w:t xml:space="preserve">三、响应文件的编制</w:t>
      </w:r>
      <w:bookmarkEnd w:id="81"/>
      <w:r/>
      <w:bookmarkEnd w:id="82"/>
      <w:r/>
      <w:bookmarkEnd w:id="83"/>
      <w:r/>
      <w:bookmarkEnd w:id="84"/>
      <w:r/>
      <w:bookmarkEnd w:id="85"/>
      <w:r/>
      <w:r/>
    </w:p>
    <w:p>
      <w:pPr>
        <w:ind w:firstLine="560"/>
        <w:keepLines/>
        <w:keepNext/>
        <w:rPr>
          <w:rFonts w:ascii="Arial" w:hAnsi="Arial" w:eastAsia="黑体" w:cs="Arial"/>
          <w:b/>
          <w:color w:val="000000"/>
          <w:sz w:val="28"/>
          <w:szCs w:val="28"/>
        </w:rPr>
        <w:outlineLvl w:val="3"/>
      </w:pPr>
      <w:r/>
      <w:bookmarkStart w:id="86" w:name="_Toc20823286"/>
      <w:r/>
      <w:bookmarkStart w:id="87" w:name="_Toc513029214"/>
      <w:r/>
      <w:bookmarkStart w:id="88" w:name="_Toc462564073"/>
      <w:r/>
      <w:bookmarkStart w:id="89" w:name="_Toc16938530"/>
      <w:r>
        <w:rPr>
          <w:rFonts w:hint="eastAsia" w:ascii="Arial" w:hAnsi="Arial" w:eastAsia="黑体" w:cs="Arial"/>
          <w:color w:val="000000"/>
          <w:sz w:val="28"/>
          <w:szCs w:val="28"/>
        </w:rPr>
        <w:t xml:space="preserve">9、响应文件的语言及度量衡单位</w:t>
      </w:r>
      <w:bookmarkEnd w:id="86"/>
      <w:r/>
      <w:bookmarkEnd w:id="87"/>
      <w:r/>
      <w:bookmarkEnd w:id="88"/>
      <w:r/>
      <w:bookmarkEnd w:id="89"/>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供应商提交的响应文件以及供应商与代理公司就有关磋商的所有来往通知、函件和文件均应使用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除技术性能另有规定外，响应文件所使用的度量衡单位，均须采用国家法定计量单位。</w:t>
      </w:r>
      <w:r/>
    </w:p>
    <w:p>
      <w:pPr>
        <w:ind w:firstLine="420"/>
        <w:keepLines/>
        <w:keepNext/>
        <w:rPr>
          <w:rFonts w:ascii="Arial" w:hAnsi="Arial" w:eastAsia="黑体" w:cs="Arial"/>
          <w:color w:val="000000"/>
          <w:sz w:val="28"/>
          <w:szCs w:val="28"/>
        </w:rPr>
        <w:outlineLvl w:val="3"/>
      </w:pPr>
      <w:r/>
      <w:bookmarkStart w:id="90" w:name="_Toc20823287"/>
      <w:r/>
      <w:bookmarkStart w:id="91" w:name="_Toc462564074"/>
      <w:r/>
      <w:bookmarkStart w:id="92" w:name="_Toc513029215"/>
      <w:r/>
      <w:bookmarkStart w:id="93" w:name="_Toc16938531"/>
      <w:r>
        <w:rPr>
          <w:rFonts w:hint="eastAsia" w:ascii="Arial" w:hAnsi="Arial" w:eastAsia="黑体" w:cs="Arial"/>
          <w:color w:val="000000"/>
          <w:sz w:val="28"/>
          <w:szCs w:val="28"/>
        </w:rPr>
        <w:t xml:space="preserve">10、响应文件构成</w:t>
      </w:r>
      <w:bookmarkEnd w:id="90"/>
      <w:r/>
      <w:bookmarkEnd w:id="91"/>
      <w:r/>
      <w:bookmarkEnd w:id="92"/>
      <w:r/>
      <w:bookmarkEnd w:id="93"/>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、分项报价表、技术要求响应及偏离表、商务要求响应及偏离表、其他证明文件、磋商响应函等部分。</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如标书制作工具中格式和内容与“江苏政府采购网”发布的磋商文件不一致，请以“江苏政府采购网”发布的磋商文件为准。</w:t>
      </w:r>
      <w:r/>
    </w:p>
    <w:p>
      <w:pPr>
        <w:ind w:firstLine="420"/>
        <w:keepLines/>
        <w:keepNext/>
        <w:rPr>
          <w:rFonts w:ascii="Arial" w:hAnsi="Arial" w:eastAsia="黑体" w:cs="Arial"/>
          <w:color w:val="000000"/>
          <w:sz w:val="28"/>
          <w:szCs w:val="28"/>
        </w:rPr>
        <w:outlineLvl w:val="3"/>
      </w:pPr>
      <w:r/>
      <w:bookmarkStart w:id="94" w:name="_Hlt26668975"/>
      <w:r/>
      <w:bookmarkEnd w:id="94"/>
      <w:r/>
      <w:bookmarkStart w:id="95" w:name="_Hlt26954838"/>
      <w:r/>
      <w:bookmarkEnd w:id="95"/>
      <w:r/>
      <w:bookmarkStart w:id="96" w:name="_Hlt26670360"/>
      <w:r/>
      <w:bookmarkEnd w:id="96"/>
      <w:r/>
      <w:bookmarkStart w:id="97" w:name="_Toc513029219"/>
      <w:r/>
      <w:bookmarkStart w:id="98" w:name="_Toc14577357"/>
      <w:r/>
      <w:bookmarkStart w:id="99" w:name="_Toc49090509"/>
      <w:r/>
      <w:bookmarkStart w:id="100" w:name="_Toc49090507"/>
      <w:r/>
      <w:bookmarkStart w:id="101" w:name="_Toc14577354"/>
      <w:r/>
      <w:bookmarkStart w:id="102" w:name="_Toc513029216"/>
      <w:r/>
      <w:bookmarkStart w:id="103" w:name="_Toc14577355"/>
      <w:r/>
      <w:bookmarkStart w:id="104" w:name="_Toc49090508"/>
      <w:r>
        <w:rPr>
          <w:rFonts w:hint="eastAsia" w:ascii="Arial" w:hAnsi="Arial" w:eastAsia="黑体" w:cs="Arial"/>
          <w:color w:val="000000"/>
          <w:sz w:val="28"/>
          <w:szCs w:val="28"/>
        </w:rPr>
        <w:t xml:space="preserve">11、证明磋商响应标的符合磋商文件规定的文件</w:t>
      </w:r>
      <w:bookmarkEnd w:id="97"/>
      <w:r/>
      <w:bookmarkEnd w:id="98"/>
      <w:r/>
      <w:bookmarkEnd w:id="99"/>
      <w:r/>
      <w:bookmarkEnd w:id="100"/>
      <w:r/>
      <w:bookmarkEnd w:id="101"/>
      <w:r/>
      <w:bookmarkEnd w:id="102"/>
      <w:r/>
      <w:r/>
    </w:p>
    <w:p>
      <w:pPr>
        <w:spacing w:line="480" w:lineRule="exact"/>
        <w:rPr>
          <w:rFonts w:ascii="宋体" w:hAnsi="宋体"/>
          <w:color w:val="000000"/>
          <w:sz w:val="24"/>
          <w:szCs w:val="24"/>
        </w:rPr>
      </w:pPr>
      <w:r>
        <w:rPr>
          <w:rFonts w:hint="eastAsia" w:ascii="宋体" w:hAnsi="宋体"/>
          <w:color w:val="000000"/>
          <w:sz w:val="24"/>
          <w:szCs w:val="24"/>
        </w:rPr>
        <w:t xml:space="preserve">    11.1供应商应按照磋商文件要求提交证明文件，证明其及磋商响应标的符合磋商文件规定。</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11.2磋商文件对证明文件无明确形式要求的，证明文件可以以文字资料、图纸和数据等形式提交。</w:t>
      </w:r>
      <w:bookmarkEnd w:id="103"/>
      <w:r/>
      <w:bookmarkEnd w:id="104"/>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12、分项报价表</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供应商应按照磋商文件规定格式填报分项报价表。</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p>
    <w:p>
      <w:pPr>
        <w:ind w:firstLine="420"/>
        <w:keepLines/>
        <w:keepNext/>
        <w:rPr>
          <w:rFonts w:ascii="Arial" w:hAnsi="Arial" w:eastAsia="黑体" w:cs="Arial"/>
          <w:color w:val="000000"/>
          <w:sz w:val="28"/>
          <w:szCs w:val="28"/>
        </w:rPr>
        <w:outlineLvl w:val="3"/>
      </w:pPr>
      <w:r/>
      <w:bookmarkStart w:id="105" w:name="_Hlt26670486"/>
      <w:r/>
      <w:bookmarkEnd w:id="105"/>
      <w:r/>
      <w:bookmarkStart w:id="106" w:name="_Hlt26670482"/>
      <w:r/>
      <w:bookmarkEnd w:id="106"/>
      <w:r/>
      <w:bookmarkStart w:id="107" w:name="_Hlt26954731"/>
      <w:r/>
      <w:bookmarkEnd w:id="107"/>
      <w:r/>
      <w:bookmarkStart w:id="108" w:name="_Hlt26954848"/>
      <w:r/>
      <w:bookmarkEnd w:id="108"/>
      <w:r/>
      <w:bookmarkStart w:id="109" w:name="_Hlt26954846"/>
      <w:r/>
      <w:bookmarkEnd w:id="109"/>
      <w:r>
        <w:rPr>
          <w:rFonts w:hint="eastAsia" w:ascii="Arial" w:hAnsi="Arial" w:eastAsia="黑体" w:cs="Arial"/>
          <w:color w:val="000000"/>
          <w:sz w:val="28"/>
          <w:szCs w:val="28"/>
        </w:rPr>
        <w:t xml:space="preserve">13、技术要求响应及偏离表、商务要求响应及偏离表</w:t>
      </w:r>
      <w:r/>
    </w:p>
    <w:p>
      <w:pPr>
        <w:ind w:firstLine="480"/>
        <w:spacing w:line="500" w:lineRule="exact"/>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color w:val="000000"/>
          <w:sz w:val="24"/>
          <w:szCs w:val="21"/>
          <w:lang w:val="zh-CN"/>
        </w:rPr>
        <w:t xml:space="preserve">供应商需对磋商文件中的技术要求与商务要求逐项作出响应或偏离，并说明原因。</w:t>
      </w:r>
      <w:r/>
    </w:p>
    <w:p>
      <w:pPr>
        <w:ind w:firstLine="480"/>
        <w:spacing w:line="500" w:lineRule="exact"/>
        <w:rPr>
          <w:rFonts w:ascii="宋体" w:hAnsi="Arial" w:cs="宋体"/>
          <w:color w:val="000000"/>
          <w:sz w:val="24"/>
          <w:szCs w:val="21"/>
          <w:lang w:val="zh-CN"/>
        </w:rPr>
      </w:pPr>
      <w:r>
        <w:rPr>
          <w:rFonts w:hint="eastAsia" w:ascii="宋体" w:hAnsi="Arial" w:cs="宋体"/>
          <w:color w:val="000000"/>
          <w:sz w:val="24"/>
          <w:szCs w:val="21"/>
          <w:lang w:val="zh-CN"/>
        </w:rPr>
        <w:t xml:space="preserve">13.2供应商需按照磋商文件要求，在响应文件中提供与技术要求和商务要求相关的证明材料。</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14.2供应商需根据磋商文件要求提供培训计划。</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Arial" w:cs="宋体"/>
          <w:color w:val="000000"/>
          <w:sz w:val="24"/>
          <w:szCs w:val="21"/>
          <w:lang w:val="zh-CN"/>
        </w:rPr>
        <w:t xml:space="preserve">磋商响应标的的主要组成部分、功能设计、实现思路及关键技术等。</w:t>
      </w:r>
      <w:r/>
    </w:p>
    <w:p>
      <w:pPr>
        <w:ind w:firstLine="420"/>
        <w:keepLines/>
        <w:keepNext/>
        <w:rPr>
          <w:rFonts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15、磋商响应函</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供应商应按照磋商文件中提供的格式完整、正确填写磋商响应函。</w:t>
      </w:r>
      <w:bookmarkEnd w:id="110"/>
      <w:r/>
      <w:bookmarkEnd w:id="111"/>
      <w:r/>
      <w:r/>
    </w:p>
    <w:p>
      <w:pPr>
        <w:ind w:firstLine="420"/>
        <w:keepLines/>
        <w:keepNext/>
        <w:rPr>
          <w:rFonts w:ascii="Arial" w:hAnsi="Arial" w:eastAsia="黑体" w:cs="Arial"/>
          <w:color w:val="000000"/>
          <w:sz w:val="28"/>
          <w:szCs w:val="28"/>
        </w:rPr>
        <w:outlineLvl w:val="3"/>
      </w:pPr>
      <w:r/>
      <w:bookmarkStart w:id="112" w:name="_Toc14577360"/>
      <w:r/>
      <w:bookmarkStart w:id="113" w:name="_Toc49090511"/>
      <w:r>
        <w:rPr>
          <w:rFonts w:hint="eastAsia" w:ascii="Arial" w:hAnsi="Arial" w:eastAsia="黑体" w:cs="Arial"/>
          <w:color w:val="000000"/>
          <w:sz w:val="28"/>
          <w:szCs w:val="28"/>
        </w:rPr>
        <w:t xml:space="preserve">16、磋商有效期</w:t>
      </w:r>
      <w:bookmarkEnd w:id="112"/>
      <w:r/>
      <w:bookmarkEnd w:id="113"/>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16.1磋商有效期为代理公司规定的提交响应文件截止之日后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。磋商有效期比规定短的将被视为非实质性响应磋商文件而予以拒绝。</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、磋商有效期的延长</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1"/>
        </w:rPr>
        <w:t xml:space="preserve">。</w:t>
      </w:r>
      <w:r/>
    </w:p>
    <w:p>
      <w:pPr>
        <w:ind w:firstLine="482"/>
        <w:keepLines/>
        <w:keepNext/>
        <w:spacing w:before="145" w:after="145" w:line="360" w:lineRule="auto"/>
        <w:rPr>
          <w:rFonts w:ascii="Times New Roman" w:hAnsi="Times New Roman"/>
          <w:b/>
          <w:bCs/>
          <w:color w:val="000000"/>
          <w:sz w:val="32"/>
          <w:szCs w:val="32"/>
        </w:rPr>
        <w:outlineLvl w:val="2"/>
      </w:pPr>
      <w:r/>
      <w:bookmarkStart w:id="114" w:name="_Hlt26954739"/>
      <w:r/>
      <w:bookmarkEnd w:id="114"/>
      <w:r/>
      <w:bookmarkStart w:id="115" w:name="_Hlt26954852"/>
      <w:r/>
      <w:bookmarkEnd w:id="115"/>
      <w:r/>
      <w:bookmarkStart w:id="116" w:name="_Toc20823296"/>
      <w:r/>
      <w:bookmarkStart w:id="117" w:name="_Toc16938540"/>
      <w:r/>
      <w:bookmarkStart w:id="118" w:name="_Toc120614217"/>
      <w:r/>
      <w:bookmarkStart w:id="119" w:name="_Toc513029224"/>
      <w:r>
        <w:rPr>
          <w:rFonts w:hint="eastAsia" w:ascii="Times New Roman" w:hAnsi="Times New Roman"/>
          <w:b/>
          <w:bCs/>
          <w:color w:val="000000"/>
          <w:sz w:val="32"/>
          <w:szCs w:val="32"/>
        </w:rPr>
        <w:t xml:space="preserve">四、响应文件的递交</w:t>
      </w:r>
      <w:bookmarkEnd w:id="116"/>
      <w:r/>
      <w:bookmarkEnd w:id="117"/>
      <w:r/>
      <w:bookmarkEnd w:id="118"/>
      <w:r/>
      <w:bookmarkEnd w:id="119"/>
      <w:r/>
      <w:r/>
    </w:p>
    <w:p>
      <w:pPr>
        <w:ind w:firstLine="560"/>
        <w:keepLines/>
        <w:keepNext/>
        <w:rPr>
          <w:rFonts w:ascii="黑体" w:hAnsi="Arial" w:eastAsia="黑体" w:cs="Arial"/>
          <w:color w:val="000000"/>
          <w:sz w:val="28"/>
          <w:szCs w:val="28"/>
        </w:rPr>
        <w:outlineLvl w:val="3"/>
      </w:pPr>
      <w:r/>
      <w:bookmarkStart w:id="120" w:name="_Toc16938541"/>
      <w:r/>
      <w:bookmarkStart w:id="121" w:name="_Toc20823297"/>
      <w:r/>
      <w:bookmarkStart w:id="122" w:name="_Toc513029225"/>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20"/>
      <w:r/>
      <w:bookmarkEnd w:id="121"/>
      <w:r/>
      <w:bookmarkEnd w:id="122"/>
      <w:r/>
      <w:bookmarkEnd w:id="123"/>
      <w:r>
        <w:rPr>
          <w:rFonts w:hint="eastAsia" w:ascii="黑体" w:hAnsi="Arial" w:eastAsia="黑体" w:cs="Arial"/>
          <w:color w:val="000000"/>
          <w:sz w:val="28"/>
          <w:szCs w:val="28"/>
        </w:rPr>
        <w:t xml:space="preserve">响应文件的递交</w:t>
      </w:r>
      <w:r/>
    </w:p>
    <w:p>
      <w:pPr>
        <w:ind w:firstLine="600"/>
        <w:rPr>
          <w:rFonts w:ascii="宋体" w:hAnsi="宋体"/>
          <w:bCs/>
          <w:color w:val="000000"/>
          <w:sz w:val="24"/>
          <w:szCs w:val="21"/>
        </w:rPr>
      </w:pPr>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bookmarkStart w:id="124" w:name="_Toc20823298"/>
      <w:r/>
      <w:bookmarkStart w:id="125" w:name="_Toc513029226"/>
      <w:r/>
      <w:bookmarkStart w:id="126" w:name="_Toc16938542"/>
      <w:r/>
      <w:r/>
    </w:p>
    <w:p>
      <w:pPr>
        <w:ind w:firstLine="560"/>
        <w:keepLines/>
        <w:keepNext/>
        <w:spacing w:before="280" w:after="290" w:line="376" w:lineRule="auto"/>
        <w:rPr>
          <w:rFonts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、提交响应文件截止时间</w:t>
      </w:r>
      <w:bookmarkEnd w:id="124"/>
      <w:r/>
      <w:bookmarkEnd w:id="125"/>
      <w:r/>
      <w:bookmarkEnd w:id="126"/>
      <w:r/>
      <w:r/>
    </w:p>
    <w:p>
      <w:pPr>
        <w:ind w:firstLine="480"/>
        <w:spacing w:line="500" w:lineRule="exact"/>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.1</w:t>
      </w:r>
      <w:r>
        <w:rPr>
          <w:rFonts w:hint="eastAsia" w:ascii="宋体" w:hAnsi="宋体"/>
          <w:bCs/>
          <w:color w:val="000000"/>
          <w:sz w:val="24"/>
          <w:szCs w:val="21"/>
        </w:rPr>
        <w:t xml:space="preserve">供应商上传电子响应文件的时间不得迟于磋商公告中规定的提交响应文件截止时间。</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00" w:lineRule="exact"/>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代理公司可以按照规定，通过修改磋商文件酌情延长提交响应文件截止日期，在此情况下，供应商的所有权利和义务以及供应商受制的截止日期均应以延长后新的截止日期为准。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color w:val="000000"/>
          <w:sz w:val="28"/>
          <w:szCs w:val="28"/>
        </w:rPr>
        <w:outlineLvl w:val="3"/>
      </w:pPr>
      <w:r/>
      <w:bookmarkStart w:id="127" w:name="_Toc513029227"/>
      <w:r/>
      <w:bookmarkStart w:id="128" w:name="_Toc16938543"/>
      <w:r/>
      <w:bookmarkStart w:id="129"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w:t>
      </w:r>
      <w:bookmarkEnd w:id="127"/>
      <w:r/>
      <w:bookmarkEnd w:id="128"/>
      <w:r/>
      <w:bookmarkEnd w:id="129"/>
      <w:r>
        <w:rPr>
          <w:rFonts w:hint="eastAsia" w:ascii="Arial" w:hAnsi="Arial" w:eastAsia="黑体" w:cs="Arial"/>
          <w:color w:val="000000"/>
          <w:sz w:val="28"/>
          <w:szCs w:val="28"/>
        </w:rPr>
        <w:t xml:space="preserve">的拒收</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20.1 代理公司拒绝接收在其规定的提交响应文件截止时间后上传的任何电子响应文件。</w:t>
      </w:r>
      <w:r/>
    </w:p>
    <w:p>
      <w:pPr>
        <w:ind w:firstLine="420"/>
        <w:keepLines/>
        <w:keepNext/>
        <w:rPr>
          <w:rFonts w:ascii="Arial" w:hAnsi="Arial" w:eastAsia="黑体" w:cs="Arial"/>
          <w:color w:val="000000"/>
          <w:sz w:val="28"/>
          <w:szCs w:val="28"/>
        </w:rPr>
        <w:outlineLvl w:val="3"/>
      </w:pPr>
      <w:r/>
      <w:bookmarkStart w:id="130" w:name="_Toc20823300"/>
      <w:r/>
      <w:bookmarkStart w:id="131" w:name="_Toc16938544"/>
      <w:r/>
      <w:bookmarkStart w:id="132"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、响应文件的撤回和修改</w:t>
      </w:r>
      <w:bookmarkEnd w:id="130"/>
      <w:r/>
      <w:bookmarkEnd w:id="131"/>
      <w:r/>
      <w:bookmarkEnd w:id="132"/>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.1响应文件的撤回</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电子响应文件的撤回</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供应商撤回电子响应文件，则认为其不再参与本项目磋商活动。</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.2响应文件的修改</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在提交响应文件截止时间之后，供应商不得对其电子响应文件作任何修改。</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.4</w:t>
      </w:r>
      <w:r>
        <w:rPr>
          <w:rFonts w:hint="eastAsia" w:ascii="宋体" w:hAnsi="宋体"/>
          <w:bCs/>
          <w:color w:val="000000"/>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rFonts w:ascii="Times New Roman" w:hAnsi="Times New Roman"/>
          <w:b/>
          <w:bCs/>
          <w:color w:val="000000"/>
          <w:sz w:val="32"/>
          <w:szCs w:val="32"/>
        </w:rPr>
        <w:outlineLvl w:val="2"/>
      </w:pPr>
      <w:r/>
      <w:bookmarkStart w:id="133" w:name="_Toc20823301"/>
      <w:r/>
      <w:bookmarkStart w:id="134" w:name="_Toc513029229"/>
      <w:r/>
      <w:bookmarkStart w:id="135" w:name="_Toc120614218"/>
      <w:r/>
      <w:bookmarkStart w:id="136" w:name="_Toc16938545"/>
      <w:r>
        <w:rPr>
          <w:rFonts w:hint="eastAsia" w:ascii="Times New Roman" w:hAnsi="Times New Roman"/>
          <w:b/>
          <w:bCs/>
          <w:color w:val="000000"/>
          <w:sz w:val="32"/>
          <w:szCs w:val="32"/>
        </w:rPr>
        <w:t xml:space="preserve">五、响应文件的解密与评审</w:t>
      </w:r>
      <w:bookmarkEnd w:id="133"/>
      <w:r/>
      <w:bookmarkEnd w:id="134"/>
      <w:r/>
      <w:bookmarkEnd w:id="135"/>
      <w:r/>
      <w:bookmarkEnd w:id="136"/>
      <w:r/>
      <w:r/>
    </w:p>
    <w:p>
      <w:pPr>
        <w:ind w:firstLine="420"/>
        <w:keepLines/>
        <w:keepNext/>
        <w:rPr>
          <w:rFonts w:ascii="Arial" w:hAnsi="Arial" w:eastAsia="黑体" w:cs="Arial"/>
          <w:color w:val="000000"/>
          <w:sz w:val="28"/>
          <w:szCs w:val="28"/>
        </w:rPr>
        <w:outlineLvl w:val="3"/>
      </w:pPr>
      <w:r/>
      <w:bookmarkStart w:id="137" w:name="_Toc513029230"/>
      <w:r/>
      <w:bookmarkStart w:id="138" w:name="_Toc20823302"/>
      <w:r/>
      <w:bookmarkStart w:id="139" w:name="_Toc16938546"/>
      <w:r>
        <w:rPr>
          <w:rFonts w:hint="eastAsia" w:ascii="Arial" w:hAnsi="Arial" w:eastAsia="黑体" w:cs="Arial"/>
          <w:color w:val="000000"/>
          <w:sz w:val="28"/>
          <w:szCs w:val="28"/>
        </w:rPr>
        <w:t xml:space="preserve">22、</w:t>
      </w:r>
      <w:bookmarkEnd w:id="137"/>
      <w:r/>
      <w:bookmarkEnd w:id="138"/>
      <w:r/>
      <w:bookmarkEnd w:id="139"/>
      <w:r>
        <w:rPr>
          <w:rFonts w:hint="eastAsia" w:ascii="Arial" w:hAnsi="Arial" w:eastAsia="黑体" w:cs="Arial"/>
          <w:color w:val="000000"/>
          <w:sz w:val="28"/>
          <w:szCs w:val="28"/>
        </w:rPr>
        <w:t xml:space="preserve">响应文件解密</w:t>
      </w:r>
      <w:r/>
    </w:p>
    <w:p>
      <w:pPr>
        <w:ind w:firstLine="360"/>
        <w:rPr>
          <w:rFonts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color w:val="000000"/>
          <w:sz w:val="24"/>
          <w:szCs w:val="24"/>
        </w:rPr>
        <w:t xml:space="preserve">供应商应当按照《操作手册》规定，在苏采云系统规定的时间内对磋商响应文件进行解密。</w:t>
      </w:r>
      <w:r/>
    </w:p>
    <w:p>
      <w:pPr>
        <w:ind w:firstLine="420"/>
        <w:keepLines/>
        <w:keepNext/>
        <w:rPr>
          <w:rFonts w:ascii="Arial" w:hAnsi="Arial" w:eastAsia="黑体" w:cs="Arial"/>
          <w:color w:val="000000"/>
          <w:sz w:val="28"/>
          <w:szCs w:val="28"/>
        </w:rPr>
        <w:outlineLvl w:val="3"/>
      </w:pPr>
      <w:r/>
      <w:bookmarkStart w:id="140" w:name="_Toc20823303"/>
      <w:r/>
      <w:bookmarkStart w:id="141" w:name="_Toc513029231"/>
      <w:r/>
      <w:bookmarkStart w:id="142"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、磋商小组</w:t>
      </w:r>
      <w:r/>
    </w:p>
    <w:p>
      <w:pPr>
        <w:spacing w:line="48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.1代理公司将组织磋商小组对响应文件进行评审。磋商小组由采购人代表和有关技术、经济等方面的专家组成，且人员构成符合政府采购有关规定。</w:t>
      </w:r>
      <w:r/>
    </w:p>
    <w:p>
      <w:pPr>
        <w:spacing w:line="48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.2磋商小组独立工作，负责评审所有响应文件并确定成交侯选人。</w:t>
      </w:r>
      <w:r/>
    </w:p>
    <w:p>
      <w:pPr>
        <w:ind w:firstLine="420"/>
        <w:keepLines/>
        <w:keepNex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bookmarkEnd w:id="140"/>
      <w:r/>
      <w:bookmarkEnd w:id="141"/>
      <w:r/>
      <w:bookmarkEnd w:id="142"/>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磋商小组、采购人和代理公司工作人员、相关监督人员等与评审工作有关的人员，对评审情况以及在评审过程中获悉的国家秘密、商业秘密负有保密责任。</w:t>
      </w:r>
      <w:r/>
    </w:p>
    <w:p>
      <w:pPr>
        <w:ind w:firstLine="480"/>
        <w:spacing w:line="48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在评审过程中，供应商不得以任何行为影响磋商评审过程，否则其响应文件将被作为无效响应文件。</w:t>
      </w:r>
      <w:r/>
    </w:p>
    <w:p>
      <w:pPr>
        <w:ind w:firstLine="480"/>
        <w:spacing w:line="48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szCs w:val="24"/>
        </w:rPr>
        <w:t xml:space="preserve">在项目评审期间，代理公司将设专门人员与供应商联系。</w:t>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.4 代理公司和磋商小组不向未成交的供应商解释未成交原因，也不公布评审过程中的相关细节。</w:t>
      </w:r>
      <w:r/>
    </w:p>
    <w:p>
      <w:pPr>
        <w:ind w:firstLine="420"/>
        <w:keepLines/>
        <w:keepNext/>
        <w:rPr>
          <w:rFonts w:ascii="Arial" w:hAnsi="Arial" w:eastAsia="黑体" w:cs="Arial"/>
          <w:color w:val="000000"/>
          <w:sz w:val="28"/>
          <w:szCs w:val="28"/>
        </w:rPr>
        <w:outlineLvl w:val="3"/>
      </w:pPr>
      <w:r/>
      <w:bookmarkStart w:id="143" w:name="_Toc513029232"/>
      <w:r/>
      <w:bookmarkStart w:id="144" w:name="_Toc16938548"/>
      <w:r/>
      <w:bookmarkStart w:id="14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、评审过程中的的澄清</w:t>
      </w:r>
      <w:bookmarkEnd w:id="143"/>
      <w:r/>
      <w:bookmarkEnd w:id="144"/>
      <w:r/>
      <w:bookmarkEnd w:id="145"/>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p>
    <w:p>
      <w:pPr>
        <w:spacing w:line="480" w:lineRule="exact"/>
        <w:rPr>
          <w:rFonts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 xml:space="preserve">5</w:t>
      </w:r>
      <w:r>
        <w:rPr>
          <w:rFonts w:hint="eastAsia" w:ascii="宋体" w:hAnsi="宋体" w:cs="宋体"/>
          <w:color w:val="000000"/>
          <w:sz w:val="24"/>
          <w:szCs w:val="24"/>
        </w:rPr>
        <w:t xml:space="preserve">.2需要供应商进行澄清、说明和更正的，磋商小组将通过</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向供应商发布“澄清要求函”，接到“澄清要求函”的供应商应当按照要求在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中提交“澄清响应函”并加盖CA电子公章。澄清、说明和更正的内容作为响应文件的补充部分，具体</w:t>
      </w:r>
      <w:r>
        <w:rPr>
          <w:rFonts w:ascii="宋体" w:hAnsi="宋体" w:cs="宋体"/>
          <w:color w:val="000000"/>
          <w:sz w:val="24"/>
          <w:szCs w:val="24"/>
        </w:rPr>
        <w:t xml:space="preserve">操作</w:t>
      </w:r>
      <w:r>
        <w:rPr>
          <w:rFonts w:hint="eastAsia" w:ascii="宋体" w:hAnsi="宋体" w:cs="宋体"/>
          <w:color w:val="000000"/>
          <w:sz w:val="24"/>
          <w:szCs w:val="24"/>
        </w:rPr>
        <w:t xml:space="preserve">方式</w:t>
      </w:r>
      <w:r>
        <w:rPr>
          <w:rFonts w:ascii="宋体" w:hAnsi="宋体" w:cs="宋体"/>
          <w:color w:val="000000"/>
          <w:sz w:val="24"/>
          <w:szCs w:val="24"/>
        </w:rPr>
        <w:t xml:space="preserve">见</w:t>
      </w:r>
      <w:r>
        <w:rPr>
          <w:rFonts w:hint="eastAsia" w:ascii="宋体" w:hAnsi="宋体" w:cs="宋体"/>
          <w:color w:val="000000"/>
          <w:sz w:val="24"/>
          <w:szCs w:val="24"/>
        </w:rPr>
        <w:t xml:space="preserve">《操作手册》。</w:t>
      </w:r>
      <w:r/>
    </w:p>
    <w:p>
      <w:pPr>
        <w:spacing w:line="480" w:lineRule="exact"/>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 接到磋商小组澄清、说明和更正要求的供应商如未按规定做出澄清、说明和 更正，其风险由供应商自行承担。</w:t>
      </w:r>
      <w:r/>
    </w:p>
    <w:p>
      <w:pPr>
        <w:ind w:firstLine="420"/>
        <w:keepLines/>
        <w:keepNext/>
        <w:rPr>
          <w:rFonts w:ascii="Arial" w:hAnsi="Arial" w:eastAsia="黑体" w:cs="Arial"/>
          <w:color w:val="000000"/>
          <w:sz w:val="28"/>
          <w:szCs w:val="28"/>
        </w:rPr>
        <w:outlineLvl w:val="3"/>
      </w:pPr>
      <w:r/>
      <w:bookmarkStart w:id="146" w:name="_Toc20823305"/>
      <w:r/>
      <w:bookmarkStart w:id="147" w:name="_Toc16938549"/>
      <w:r/>
      <w:bookmarkStart w:id="148" w:name="_Toc51302923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、对响应文件的审</w:t>
      </w:r>
      <w:bookmarkEnd w:id="146"/>
      <w:r/>
      <w:bookmarkEnd w:id="147"/>
      <w:r/>
      <w:bookmarkEnd w:id="148"/>
      <w:r>
        <w:rPr>
          <w:rFonts w:hint="eastAsia" w:ascii="Arial" w:hAnsi="Arial" w:eastAsia="黑体" w:cs="Arial"/>
          <w:color w:val="000000"/>
          <w:sz w:val="28"/>
          <w:szCs w:val="28"/>
        </w:rPr>
        <w:t xml:space="preserve">查</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26.3未实质性响应磋商文件的情形</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规定的时间内未成功解密电子响应文件的。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26.3.3供应商同一</w:t>
      </w:r>
      <w:r>
        <w:rPr>
          <w:rFonts w:ascii="宋体" w:hAnsi="宋体"/>
          <w:bCs/>
          <w:color w:val="000000"/>
          <w:sz w:val="24"/>
          <w:szCs w:val="21"/>
        </w:rPr>
        <w:t xml:space="preserve">分包</w:t>
      </w:r>
      <w:r>
        <w:rPr>
          <w:rFonts w:hint="eastAsia" w:ascii="宋体" w:hAnsi="宋体"/>
          <w:bCs/>
          <w:color w:val="000000"/>
          <w:sz w:val="24"/>
          <w:szCs w:val="21"/>
        </w:rPr>
        <w:t xml:space="preserve">提交两个（含两个）以上不同的响应文件或者最后报价的。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26.3.4供应商不具备磋商文件中规定资格要求的。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26.3.5供应商的最后报价超过了采购预算。</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26.3.6不符合磋商文件中规定的实质性要求的</w:t>
      </w:r>
      <w:r>
        <w:rPr>
          <w:rFonts w:hint="eastAsia" w:ascii="宋体" w:hAnsi="宋体"/>
          <w:bCs/>
          <w:i/>
          <w:color w:val="000000"/>
          <w:sz w:val="24"/>
          <w:szCs w:val="21"/>
          <w:u w:val="single"/>
        </w:rPr>
        <w:t xml:space="preserve">（本磋商文件中斜体且有下划线部分为实质性要求）。</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26.3.8  响应文件含有采购人不能接受的附加条件的。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26.3.10响应文件未按照磋商文件要求加盖CA电子公章的。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.6供应商在项目评审全过程中应保持通讯畅通，并安排专人与代理公司及磋商小组联系。</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9"/>
      <w:r/>
      <w:bookmarkEnd w:id="150"/>
      <w:r/>
      <w:bookmarkEnd w:id="151"/>
      <w:r>
        <w:rPr>
          <w:rFonts w:hint="eastAsia" w:ascii="Arial" w:hAnsi="Arial" w:eastAsia="黑体" w:cs="Arial"/>
          <w:color w:val="000000"/>
          <w:sz w:val="28"/>
          <w:szCs w:val="28"/>
        </w:rPr>
        <w:t xml:space="preserve">磋商程序及评审方法和评审标准</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27.1磋商程序</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 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27.2 评审方法和评审标准</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27.2.2评审标准</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见本磋商文件第五章规定。</w:t>
      </w:r>
      <w:r/>
    </w:p>
    <w:p>
      <w:pPr>
        <w:ind w:firstLine="477"/>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27.3采购活动终止的情况</w:t>
      </w:r>
      <w:r/>
    </w:p>
    <w:p>
      <w:pPr>
        <w:ind w:firstLine="360"/>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p>
    <w:p>
      <w:pPr>
        <w:ind w:firstLine="360"/>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27.3.1因情况变化，不再符合规定的竞争性磋商采购方式适用情形的。</w:t>
      </w:r>
      <w:r/>
    </w:p>
    <w:p>
      <w:pPr>
        <w:ind w:firstLine="360"/>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27.3.2出现影响采购公正的违法、违规行为的。</w:t>
      </w:r>
      <w:r/>
    </w:p>
    <w:p>
      <w:pPr>
        <w:ind w:firstLine="360"/>
        <w:spacing w:after="145"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460" w:lineRule="exact"/>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82"/>
        <w:keepLines/>
        <w:keepNext/>
        <w:spacing w:before="145" w:after="145" w:line="360" w:lineRule="auto"/>
        <w:rPr>
          <w:rFonts w:ascii="Times New Roman" w:hAnsi="Times New Roman"/>
          <w:b/>
          <w:bCs/>
          <w:color w:val="000000"/>
          <w:sz w:val="32"/>
          <w:szCs w:val="32"/>
        </w:rPr>
        <w:outlineLvl w:val="2"/>
      </w:pPr>
      <w:r/>
      <w:bookmarkStart w:id="152" w:name="_Toc16938551"/>
      <w:r/>
      <w:bookmarkStart w:id="153" w:name="_Toc120614219"/>
      <w:r/>
      <w:bookmarkStart w:id="154" w:name="_Toc513029235"/>
      <w:r/>
      <w:bookmarkStart w:id="155" w:name="_Toc20823307"/>
      <w:r>
        <w:rPr>
          <w:rFonts w:hint="eastAsia" w:ascii="Times New Roman" w:hAnsi="Times New Roman"/>
          <w:b/>
          <w:bCs/>
          <w:color w:val="000000"/>
          <w:sz w:val="32"/>
          <w:szCs w:val="32"/>
        </w:rPr>
        <w:t xml:space="preserve">六、</w:t>
      </w:r>
      <w:bookmarkEnd w:id="152"/>
      <w:r/>
      <w:bookmarkEnd w:id="153"/>
      <w:r/>
      <w:bookmarkEnd w:id="154"/>
      <w:r/>
      <w:bookmarkEnd w:id="155"/>
      <w:r>
        <w:rPr>
          <w:rFonts w:hint="eastAsia" w:ascii="Times New Roman" w:hAnsi="Times New Roman"/>
          <w:b/>
          <w:bCs/>
          <w:color w:val="000000"/>
          <w:sz w:val="32"/>
          <w:szCs w:val="32"/>
        </w:rPr>
        <w:t xml:space="preserve">成交</w:t>
      </w:r>
      <w:r/>
    </w:p>
    <w:p>
      <w:pPr>
        <w:ind w:firstLine="600"/>
        <w:keepLines/>
        <w:keepNext/>
        <w:rPr>
          <w:rFonts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成交单位</w:t>
      </w:r>
      <w:r/>
    </w:p>
    <w:p>
      <w:pPr>
        <w:ind w:firstLine="477"/>
        <w:spacing w:after="145" w:line="560" w:lineRule="exact"/>
        <w:tabs>
          <w:tab w:val="left" w:pos="900" w:leader="none"/>
        </w:tabs>
        <w:rPr>
          <w:rFonts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.2采购人从评审报告提出的成交候选供应商中，按照排序由高到低的原则确定成交供应商。采购人确定成交供应商后，代理公司将在“江苏政府采购网”发布成交结果公告，公告期限为1个工作日。</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28.3.1提供虚假材料谋取成交的。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28.3.2与评审专家、采购人、其他供应商或者代理公司工作人员恶意串通的。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28.3.3向评审专家、采购人或代理公司工作人员行贿或者提供其他不正当利益的。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28.3.4恶意竞争，最后报价明显低于其自身合理成本且又无法提供证明的。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28.3.5不满足本磋商文件规定的实质性要求，但在评审过程中又未被磋商小组发现的。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28.3.6成交后无正当理由拒不与采购人签订政府采购合同或者未按照磋商文件确定的事项签订政府采购合同的。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28.3.7将政府采购合同转包的。</w:t>
      </w:r>
      <w:r/>
    </w:p>
    <w:p>
      <w:pPr>
        <w:ind w:firstLine="600"/>
        <w:keepLines/>
        <w:keepNext/>
        <w:rPr>
          <w:rFonts w:ascii="黑体" w:hAnsi="宋体" w:eastAsia="黑体"/>
          <w:bCs/>
          <w:color w:val="000000"/>
          <w:sz w:val="30"/>
          <w:szCs w:val="30"/>
        </w:rPr>
        <w:outlineLvl w:val="3"/>
      </w:pPr>
      <w:r/>
      <w:bookmarkStart w:id="159" w:name="_Toc200451960"/>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59"/>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代理公司或采购人提出质疑。上述应知其权益受到损害之日，是指：</w:t>
      </w:r>
      <w:r/>
    </w:p>
    <w:p>
      <w:pPr>
        <w:ind w:firstLine="480"/>
        <w:jc w:val="left"/>
        <w:spacing w:line="480" w:lineRule="exact"/>
        <w:rPr>
          <w:rFonts w:hint="eastAsia" w:ascii="Times New Roman" w:hAnsi="宋体" w:eastAsia="宋体" w:cs="宋体"/>
          <w:color w:val="000000"/>
          <w:sz w:val="24"/>
          <w:szCs w:val="24"/>
          <w:lang w:eastAsia="zh-CN"/>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hint="eastAsia" w:ascii="Times New Roman" w:hAnsi="宋体" w:cs="宋体"/>
          <w:color w:val="000000"/>
          <w:sz w:val="24"/>
          <w:szCs w:val="24"/>
        </w:rPr>
        <w:t xml:space="preserve">。</w:t>
      </w:r>
      <w:r/>
    </w:p>
    <w:p>
      <w:pPr>
        <w:ind w:firstLine="480"/>
        <w:jc w:val="left"/>
        <w:spacing w:line="480" w:lineRule="exact"/>
        <w:rPr>
          <w:rFonts w:hint="eastAsia" w:ascii="Times New Roman" w:hAnsi="宋体" w:eastAsia="宋体" w:cs="宋体"/>
          <w:color w:val="000000"/>
          <w:sz w:val="24"/>
          <w:szCs w:val="24"/>
          <w:lang w:eastAsia="zh-CN"/>
        </w:rPr>
      </w:pP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hint="eastAsia" w:ascii="Times New Roman" w:hAnsi="宋体" w:cs="宋体"/>
          <w:color w:val="000000"/>
          <w:sz w:val="24"/>
          <w:szCs w:val="24"/>
        </w:rPr>
        <w:t xml:space="preserve">。</w:t>
      </w:r>
      <w:r/>
    </w:p>
    <w:p>
      <w:pPr>
        <w:ind w:firstLine="480"/>
        <w:jc w:val="left"/>
        <w:spacing w:line="480" w:lineRule="exact"/>
        <w:rPr>
          <w:rFonts w:ascii="Times New Roman" w:hAnsi="宋体" w:cs="宋体"/>
          <w:color w:val="000000"/>
          <w:sz w:val="24"/>
          <w:szCs w:val="24"/>
        </w:rPr>
      </w:pP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对成交结果提出质疑的，为成交结果公告期限届满之日。</w:t>
      </w:r>
      <w:r/>
    </w:p>
    <w:p>
      <w:pPr>
        <w:ind w:firstLine="480"/>
        <w:spacing w:line="480" w:lineRule="exact"/>
        <w:rPr>
          <w:rFonts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供应商应当在法定质疑期内一次性提出针对同一采购程序环节的质疑。供应商如在法定期限内对同一采购程序环节提出多次质疑的，代理公司、</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评审方法与评审标准</w:t>
      </w:r>
      <w:r>
        <w:rPr>
          <w:rFonts w:ascii="宋体" w:hAnsi="宋体"/>
          <w:color w:val="000000"/>
          <w:sz w:val="24"/>
          <w:szCs w:val="24"/>
        </w:rPr>
        <w:t xml:space="preserve">、合同文本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代理公司</w:t>
      </w:r>
      <w:r>
        <w:rPr>
          <w:rFonts w:ascii="宋体" w:hAnsi="宋体"/>
          <w:color w:val="000000"/>
          <w:sz w:val="24"/>
          <w:szCs w:val="24"/>
        </w:rPr>
        <w:t xml:space="preserve">提出，由</w:t>
      </w:r>
      <w:r>
        <w:rPr>
          <w:rFonts w:hint="eastAsia" w:ascii="宋体" w:hAnsi="宋体"/>
          <w:color w:val="000000"/>
          <w:sz w:val="24"/>
          <w:szCs w:val="24"/>
        </w:rPr>
        <w:t xml:space="preserve">代理公司负责</w:t>
      </w:r>
      <w:r>
        <w:rPr>
          <w:rFonts w:ascii="宋体" w:hAnsi="宋体"/>
          <w:color w:val="000000"/>
          <w:sz w:val="24"/>
          <w:szCs w:val="24"/>
        </w:rPr>
        <w:t xml:space="preserve">答复。</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采购人及代理公司只接收以纸质原件形式送达的质疑,建议供应商尽量通过邮寄方式提交质疑（采购人和代理公司不接受无快递运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p>
    <w:p>
      <w:pPr>
        <w:ind w:firstLine="480"/>
        <w:spacing w:line="480" w:lineRule="exact"/>
        <w:rPr>
          <w:rFonts w:ascii="宋体" w:hAnsi="宋体"/>
          <w:sz w:val="24"/>
          <w:szCs w:val="24"/>
        </w:rPr>
      </w:pPr>
      <w:r>
        <w:rPr>
          <w:rFonts w:hint="eastAsia" w:ascii="宋体" w:hAnsi="宋体"/>
          <w:sz w:val="24"/>
          <w:szCs w:val="24"/>
        </w:rPr>
        <w:t xml:space="preserve">联系方式：</w:t>
      </w:r>
      <w:r/>
    </w:p>
    <w:p>
      <w:pPr>
        <w:ind w:firstLine="480"/>
        <w:spacing w:line="480" w:lineRule="exact"/>
        <w:rPr>
          <w:rFonts w:ascii="宋体" w:hAnsi="宋体"/>
          <w:sz w:val="24"/>
          <w:szCs w:val="24"/>
        </w:rPr>
      </w:pPr>
      <w:r>
        <w:rPr>
          <w:rFonts w:hint="eastAsia" w:ascii="宋体" w:hAnsi="宋体"/>
          <w:sz w:val="24"/>
          <w:szCs w:val="24"/>
        </w:rPr>
        <w:t xml:space="preserve">1、名 称：</w:t>
      </w:r>
      <w:r>
        <w:rPr>
          <w:rFonts w:hint="eastAsia" w:ascii="宋体" w:hAnsi="宋体"/>
          <w:sz w:val="24"/>
          <w:szCs w:val="24"/>
          <w:lang w:val="en-US" w:eastAsia="zh-CN"/>
        </w:rPr>
        <w:t xml:space="preserve">兴化市水资源服务中心</w:t>
      </w:r>
      <w:r>
        <w:rPr>
          <w:rFonts w:hint="eastAsia" w:ascii="宋体" w:hAnsi="宋体"/>
          <w:sz w:val="24"/>
          <w:szCs w:val="24"/>
        </w:rPr>
        <w:t xml:space="preserve">，地址： 兴化市丰收北路13号，联系人：</w:t>
      </w:r>
      <w:r>
        <w:rPr>
          <w:rFonts w:hint="eastAsia" w:ascii="宋体" w:hAnsi="宋体"/>
          <w:sz w:val="24"/>
          <w:szCs w:val="24"/>
          <w:lang w:eastAsia="zh-CN"/>
        </w:rPr>
        <w:t xml:space="preserve">刘</w:t>
      </w:r>
      <w:r>
        <w:rPr>
          <w:rFonts w:hint="eastAsia" w:ascii="宋体" w:hAnsi="宋体"/>
          <w:sz w:val="24"/>
          <w:szCs w:val="24"/>
        </w:rPr>
        <w:t xml:space="preserve">先生，联系电话：</w:t>
      </w:r>
      <w:r>
        <w:rPr>
          <w:rFonts w:hint="eastAsia" w:ascii="宋体" w:hAnsi="宋体"/>
          <w:sz w:val="24"/>
          <w:szCs w:val="24"/>
          <w:lang w:val="en-US" w:eastAsia="zh-CN"/>
        </w:rPr>
        <w:t xml:space="preserve">0523-83960969</w:t>
      </w:r>
      <w:r>
        <w:rPr>
          <w:rFonts w:hint="eastAsia" w:ascii="宋体" w:hAnsi="宋体"/>
          <w:sz w:val="24"/>
          <w:szCs w:val="24"/>
        </w:rPr>
        <w:t xml:space="preserve"> 。</w:t>
      </w:r>
      <w:r/>
    </w:p>
    <w:p>
      <w:pPr>
        <w:ind w:firstLine="480"/>
        <w:spacing w:line="480" w:lineRule="exact"/>
        <w:rPr>
          <w:rFonts w:ascii="宋体" w:hAnsi="宋体"/>
          <w:sz w:val="24"/>
          <w:szCs w:val="24"/>
        </w:rPr>
      </w:pPr>
      <w:r>
        <w:rPr>
          <w:rFonts w:hint="eastAsia" w:ascii="宋体" w:hAnsi="宋体"/>
          <w:sz w:val="24"/>
          <w:szCs w:val="24"/>
        </w:rPr>
        <w:t xml:space="preserve">2.泰州信诚招标代理有限公司，地　址：兴化市城投国际街区8号公馆622室，联系人：任先生，联系方式：025-83255858。</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采购人质疑接收人及联系方式见本磋商文件第一章。</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未参加磋商活动的供应商或在磋商活动中自身权益未受到损害的供应商所提出的质疑。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.5.5供应商组成联合体参加磋商，联合体中任何一方或多方未按要求签字、盖章、加盖公章的质疑。</w:t>
      </w:r>
      <w:r/>
    </w:p>
    <w:p>
      <w:pPr>
        <w:ind w:firstLine="468"/>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600"/>
        <w:keepLines/>
        <w:keepNex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、成交通知书</w:t>
      </w:r>
      <w:r/>
    </w:p>
    <w:p>
      <w:pPr>
        <w:ind w:firstLine="600"/>
        <w:spacing w:line="48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0</w:t>
      </w:r>
      <w:r>
        <w:rPr>
          <w:rFonts w:ascii="宋体" w:hAnsi="宋体"/>
          <w:color w:val="000000"/>
          <w:sz w:val="24"/>
          <w:szCs w:val="24"/>
        </w:rPr>
        <w:t xml:space="preserve">.1</w:t>
      </w:r>
      <w:r>
        <w:rPr>
          <w:rFonts w:hint="eastAsia" w:ascii="宋体" w:hAnsi="宋体"/>
          <w:color w:val="000000"/>
          <w:sz w:val="24"/>
          <w:szCs w:val="24"/>
        </w:rPr>
        <w:t xml:space="preserve">成交结果确定后，代理公司将向成交供应商发出成交通知书。</w:t>
      </w:r>
      <w:r>
        <w:rPr>
          <w:rFonts w:hint="eastAsia" w:ascii="宋体" w:hAnsi="宋体" w:cs="宋体"/>
          <w:color w:val="000000"/>
          <w:sz w:val="24"/>
          <w:szCs w:val="24"/>
        </w:rPr>
        <w:t xml:space="preserve">请成交供应商在成交结果公告届满之日起30日内,使用CA数字证书登录</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及时下载成交通知书。因系统存储空间有限，自成交结果公告届满之日起30日后，</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不再保证提供下载成交通知书服务,因未及时下载而造成的不利后果由成交供应商自行承担。</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Times New Roman" w:hAnsi="Times New Roman"/>
          <w:b/>
          <w:bCs/>
          <w:color w:val="000000"/>
          <w:sz w:val="32"/>
          <w:szCs w:val="32"/>
        </w:rPr>
        <w:outlineLvl w:val="2"/>
      </w:pPr>
      <w:r/>
      <w:bookmarkStart w:id="160" w:name="_Toc120614220"/>
      <w:r/>
      <w:bookmarkStart w:id="161" w:name="_Toc20823308"/>
      <w:r/>
      <w:bookmarkStart w:id="162" w:name="_Toc16938552"/>
      <w:r/>
      <w:bookmarkStart w:id="163" w:name="_Toc513029236"/>
      <w:r>
        <w:rPr>
          <w:rFonts w:hint="eastAsia" w:ascii="Times New Roman" w:hAnsi="Times New Roman"/>
          <w:b/>
          <w:bCs/>
          <w:color w:val="000000"/>
          <w:sz w:val="32"/>
          <w:szCs w:val="32"/>
        </w:rPr>
        <w:t xml:space="preserve">七、授予合同</w:t>
      </w:r>
      <w:bookmarkEnd w:id="160"/>
      <w:r/>
      <w:bookmarkEnd w:id="161"/>
      <w:r/>
      <w:bookmarkEnd w:id="162"/>
      <w:r/>
      <w:bookmarkEnd w:id="163"/>
      <w:r/>
      <w:r/>
    </w:p>
    <w:p>
      <w:pPr>
        <w:ind w:firstLine="600"/>
        <w:keepLines/>
        <w:keepNext/>
        <w:rPr>
          <w:rFonts w:ascii="黑体" w:hAnsi="宋体" w:eastAsia="黑体"/>
          <w:bCs/>
          <w:color w:val="000000"/>
          <w:sz w:val="30"/>
          <w:szCs w:val="30"/>
        </w:rPr>
        <w:outlineLvl w:val="3"/>
      </w:pPr>
      <w:r/>
      <w:bookmarkStart w:id="164" w:name="_Toc513029237"/>
      <w:r/>
      <w:bookmarkStart w:id="165" w:name="_Toc16938553"/>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480" w:lineRule="exac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.l成交供应商应当在成交通知书发出之日起三十日内，按照磋商文件确定的事项与采购人签订政府采购合同。</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.2磋商文件、成交供应商的响应文件及磋商过程中有关澄清、承诺文件均应作为合同附件。</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、标的物的追加</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4"/>
      <w:r/>
      <w:bookmarkEnd w:id="165"/>
      <w:r/>
      <w:bookmarkEnd w:id="166"/>
      <w:r/>
      <w:r/>
    </w:p>
    <w:p>
      <w:pPr>
        <w:ind w:firstLine="600"/>
        <w:keepLines/>
        <w:keepNext/>
        <w:rPr>
          <w:rFonts w:ascii="黑体" w:hAnsi="宋体" w:eastAsia="黑体"/>
          <w:bCs/>
          <w:color w:val="000000"/>
          <w:sz w:val="30"/>
          <w:szCs w:val="30"/>
        </w:rPr>
        <w:outlineLvl w:val="3"/>
      </w:pPr>
      <w:r/>
      <w:bookmarkStart w:id="167" w:name="_Toc513029242"/>
      <w:r/>
      <w:bookmarkStart w:id="168" w:name="_Toc20823314"/>
      <w:r/>
      <w:bookmarkStart w:id="169" w:name="_Toc16938558"/>
      <w:r/>
      <w:bookmarkStart w:id="170" w:name="_Toc120614221"/>
      <w:r/>
      <w:bookmarkStart w:id="171" w:name="_Toc47975720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p>
    <w:p>
      <w:pPr>
        <w:ind w:firstLine="555"/>
        <w:spacing w:line="500" w:lineRule="exact"/>
        <w:rPr>
          <w:rFonts w:hint="eastAsia" w:ascii="宋体" w:hAnsi="宋体"/>
          <w:bCs/>
          <w:color w:val="000000"/>
          <w:sz w:val="24"/>
          <w:szCs w:val="24"/>
        </w:rPr>
      </w:pPr>
      <w:r>
        <w:rPr>
          <w:rFonts w:hint="eastAsia" w:ascii="宋体" w:hAnsi="宋体"/>
          <w:bCs/>
          <w:color w:val="000000"/>
          <w:sz w:val="24"/>
          <w:szCs w:val="24"/>
        </w:rPr>
        <w:t xml:space="preserve">成交供应商可凭政府采购合同办理融资贷款，详情请见江苏政府采购网“政采贷”专栏。</w:t>
      </w:r>
      <w:r/>
    </w:p>
    <w:p>
      <w:pPr>
        <w:pStyle w:val="715"/>
        <w:rPr>
          <w:rFonts w:hint="eastAsia" w:ascii="宋体" w:hAnsi="宋体"/>
          <w:bCs/>
          <w:color w:val="000000"/>
          <w:sz w:val="24"/>
          <w:szCs w:val="24"/>
        </w:rPr>
      </w:pPr>
      <w:r>
        <w:rPr>
          <w:rFonts w:hint="eastAsia" w:ascii="宋体" w:hAnsi="宋体"/>
          <w:bCs/>
          <w:color w:val="000000"/>
          <w:sz w:val="24"/>
          <w:szCs w:val="24"/>
        </w:rPr>
      </w:r>
      <w:r/>
    </w:p>
    <w:p>
      <w:pPr>
        <w:ind w:firstLine="420"/>
        <w:rPr>
          <w:rFonts w:ascii="Times New Roman" w:hAnsi="Times New Roman"/>
          <w:color w:val="000000"/>
          <w:szCs w:val="21"/>
        </w:rPr>
      </w:pPr>
      <w:r>
        <w:rPr>
          <w:rFonts w:ascii="Times New Roman" w:hAnsi="Times New Roman"/>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0"/>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15"/>
        <w:rPr>
          <w:rFonts w:hint="eastAsia"/>
        </w:rPr>
      </w:pPr>
      <w:r>
        <w:rPr>
          <w:rFonts w:hint="eastAsia"/>
        </w:rPr>
      </w:r>
      <w:r/>
    </w:p>
    <w:p>
      <w:pPr>
        <w:ind w:firstLine="2640"/>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15"/>
        <w:rPr>
          <w:rFonts w:hint="eastAsia"/>
        </w:rPr>
      </w:pPr>
      <w:r>
        <w:rPr>
          <w:rFonts w:hint="eastAsia"/>
        </w:rPr>
      </w:r>
      <w:r/>
    </w:p>
    <w:p>
      <w:pPr>
        <w:ind w:firstLine="2640"/>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numPr>
          <w:ilvl w:val="0"/>
          <w:numId w:val="5"/>
        </w:numPr>
        <w:ind w:firstLine="2640"/>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p>
    <w:p>
      <w:pPr>
        <w:pStyle w:val="715"/>
        <w:numPr>
          <w:ilvl w:val="0"/>
          <w:numId w:val="0"/>
        </w:numPr>
      </w:pPr>
      <w:r/>
      <w:r/>
    </w:p>
    <w:p>
      <w:pPr>
        <w:ind w:firstLine="480"/>
        <w:spacing w:line="500" w:lineRule="exact"/>
        <w:rPr>
          <w:rFonts w:ascii="宋体" w:hAnsi="宋体"/>
          <w:bCs/>
          <w:color w:val="000000"/>
          <w:sz w:val="24"/>
          <w:szCs w:val="21"/>
        </w:rPr>
      </w:pPr>
      <w:r/>
      <w:bookmarkStart w:id="172" w:name="_Toc513029243"/>
      <w:r/>
      <w:bookmarkStart w:id="173" w:name="_Toc20823315"/>
      <w:r/>
      <w:bookmarkStart w:id="174" w:name="_Toc16938559"/>
      <w:r>
        <w:rPr>
          <w:rFonts w:hint="eastAsia" w:ascii="宋体" w:hAnsi="宋体"/>
          <w:bCs/>
          <w:color w:val="000000"/>
          <w:sz w:val="24"/>
          <w:szCs w:val="21"/>
        </w:rPr>
        <w:t xml:space="preserve">以下为成交后签定本项目合同的通用条款，成交供应商不得提出实质性的修改。</w:t>
      </w:r>
      <w:r/>
    </w:p>
    <w:p>
      <w:pPr>
        <w:jc w:val="center"/>
        <w:spacing w:before="145" w:after="145"/>
        <w:rPr>
          <w:rFonts w:ascii="宋体" w:hAnsi="宋体"/>
          <w:b/>
          <w:color w:val="000000"/>
          <w:sz w:val="30"/>
          <w:szCs w:val="21"/>
        </w:rPr>
        <w:outlineLvl w:val="0"/>
      </w:pPr>
      <w:r>
        <w:rPr>
          <w:rFonts w:ascii="宋体" w:hAnsi="宋体"/>
          <w:b/>
          <w:color w:val="000000"/>
          <w:sz w:val="30"/>
          <w:szCs w:val="21"/>
        </w:rPr>
      </w:r>
      <w:r/>
    </w:p>
    <w:p>
      <w:pPr>
        <w:jc w:val="center"/>
        <w:spacing w:before="145" w:after="145"/>
        <w:rPr>
          <w:rFonts w:ascii="宋体" w:hAnsi="宋体"/>
          <w:b/>
          <w:bCs/>
          <w:color w:val="000000"/>
          <w:sz w:val="30"/>
          <w:szCs w:val="20"/>
        </w:rPr>
        <w:outlineLvl w:val="0"/>
      </w:pPr>
      <w:r>
        <w:rPr>
          <w:rFonts w:hint="eastAsia" w:ascii="宋体" w:hAnsi="宋体"/>
          <w:b/>
          <w:color w:val="000000"/>
          <w:sz w:val="30"/>
          <w:szCs w:val="21"/>
        </w:rPr>
        <w:t xml:space="preserve">江苏省政府采购合同 </w:t>
      </w:r>
      <w:r/>
    </w:p>
    <w:p>
      <w:pPr>
        <w:pStyle w:val="747"/>
        <w:spacing w:before="0" w:after="0" w:line="27" w:lineRule="atLeast"/>
      </w:pPr>
      <w:r>
        <w:rPr>
          <w:rFonts w:hint="eastAsia"/>
          <w:color w:val="000000"/>
        </w:rPr>
        <w:t xml:space="preserve">合同编号： </w:t>
      </w:r>
      <w:r>
        <w:rPr>
          <w:rFonts w:hint="eastAsia"/>
        </w:rPr>
        <w:t xml:space="preserve"> </w:t>
      </w:r>
      <w:r/>
    </w:p>
    <w:tbl>
      <w:tblPr>
        <w:tblStyle w:val="714"/>
        <w:tblW w:w="9286" w:type="dxa"/>
        <w:tblCellSpacing w:w="15" w:type="dxa"/>
        <w:tblInd w:w="-108" w:type="dxa"/>
        <w:tblLayout w:type="autofit"/>
        <w:tblCellMar>
          <w:left w:w="15" w:type="dxa"/>
          <w:top w:w="15" w:type="dxa"/>
          <w:right w:w="15" w:type="dxa"/>
          <w:bottom w:w="15" w:type="dxa"/>
        </w:tblCellMar>
        <w:tblLook w:val="04A0" w:firstRow="1" w:lastRow="0" w:firstColumn="1" w:lastColumn="0" w:noHBand="0" w:noVBand="1"/>
      </w:tblPr>
      <w:tblGrid>
        <w:gridCol w:w="4643"/>
        <w:gridCol w:w="4643"/>
      </w:tblGrid>
      <w:tr>
        <w:trPr>
          <w:tblCellSpacing w:w="15" w:type="dxa"/>
        </w:trPr>
        <w:tc>
          <w:tcPr>
            <w:shd w:val="clear" w:color="auto" w:fill="auto"/>
            <w:tcBorders>
              <w:top w:val="none" w:color="000000" w:sz="4" w:space="0"/>
              <w:left w:val="none" w:color="000000" w:sz="4" w:space="0"/>
              <w:bottom w:val="none" w:color="000000" w:sz="4" w:space="0"/>
              <w:right w:val="none" w:color="000000" w:sz="4" w:space="0"/>
            </w:tcBorders>
            <w:tcW w:w="0" w:type="auto"/>
            <w:textDirection w:val="lrTb"/>
            <w:noWrap w:val="false"/>
          </w:tcPr>
          <w:p>
            <w:pPr>
              <w:pStyle w:val="747"/>
              <w:spacing w:before="0" w:after="0" w:line="27" w:lineRule="atLeast"/>
            </w:pPr>
            <w:r>
              <w:rPr>
                <w:rFonts w:hint="eastAsia"/>
                <w:color w:val="000000"/>
              </w:rPr>
              <w:t xml:space="preserve">采购人：（以下称甲方）</w:t>
            </w:r>
            <w:r>
              <w:rPr>
                <w:rFonts w:hint="eastAsia"/>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0" w:type="auto"/>
            <w:textDirection w:val="lrTb"/>
            <w:noWrap w:val="false"/>
          </w:tcPr>
          <w:p>
            <w:pPr>
              <w:pStyle w:val="747"/>
              <w:spacing w:before="0" w:after="0" w:line="27" w:lineRule="atLeast"/>
            </w:pPr>
            <w:r>
              <w:rPr>
                <w:rFonts w:hint="eastAsia"/>
                <w:color w:val="000000"/>
              </w:rPr>
              <w:t xml:space="preserve">供应商：（以下称乙方）</w:t>
            </w:r>
            <w:r>
              <w:rPr>
                <w:rFonts w:hint="eastAsia"/>
              </w:rPr>
              <w:t xml:space="preserve"> </w:t>
            </w:r>
            <w:r/>
          </w:p>
        </w:tc>
      </w:tr>
      <w:tr>
        <w:trPr>
          <w:tblCellSpacing w:w="15" w:type="dxa"/>
        </w:trPr>
        <w:tc>
          <w:tcPr>
            <w:shd w:val="clear" w:color="auto" w:fill="auto"/>
            <w:tcBorders>
              <w:top w:val="none" w:color="000000" w:sz="4" w:space="0"/>
              <w:left w:val="none" w:color="000000" w:sz="4" w:space="0"/>
              <w:bottom w:val="none" w:color="000000" w:sz="4" w:space="0"/>
              <w:right w:val="none" w:color="000000" w:sz="4" w:space="0"/>
            </w:tcBorders>
            <w:tcW w:w="0" w:type="auto"/>
            <w:textDirection w:val="lrTb"/>
            <w:noWrap w:val="false"/>
          </w:tcPr>
          <w:p>
            <w:pPr>
              <w:pStyle w:val="747"/>
              <w:spacing w:before="0" w:after="0" w:line="27" w:lineRule="atLeast"/>
            </w:pPr>
            <w:r>
              <w:rPr>
                <w:rFonts w:hint="eastAsia"/>
                <w:color w:val="000000"/>
              </w:rPr>
              <w:t xml:space="preserve">住所地：</w:t>
            </w:r>
            <w:r>
              <w:rPr>
                <w:rFonts w:hint="eastAsia"/>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0" w:type="auto"/>
            <w:textDirection w:val="lrTb"/>
            <w:noWrap w:val="false"/>
          </w:tcPr>
          <w:p>
            <w:pPr>
              <w:pStyle w:val="747"/>
              <w:spacing w:before="0" w:after="0" w:line="27" w:lineRule="atLeast"/>
            </w:pPr>
            <w:r>
              <w:rPr>
                <w:rFonts w:hint="eastAsia"/>
                <w:color w:val="000000"/>
              </w:rPr>
              <w:t xml:space="preserve">住所地：</w:t>
            </w:r>
            <w:r/>
          </w:p>
        </w:tc>
      </w:tr>
    </w:tbl>
    <w:p>
      <w:pPr>
        <w:ind w:firstLine="480"/>
        <w:spacing w:line="360" w:lineRule="auto"/>
        <w:rPr>
          <w:rFonts w:ascii="宋体" w:hAnsi="宋体" w:cs="宋体"/>
          <w:b/>
          <w:color w:val="000000"/>
          <w:sz w:val="24"/>
          <w:szCs w:val="24"/>
        </w:rPr>
      </w:pPr>
      <w:r>
        <w:rPr>
          <w:rFonts w:hint="eastAsia" w:ascii="宋体" w:hAnsi="宋体" w:cs="宋体"/>
          <w:sz w:val="24"/>
          <w:szCs w:val="24"/>
        </w:rPr>
        <w:t xml:space="preserve">根据《中华人民共和国政府采购法》、《中华人民共和国民法典》等法律法规的规定，甲乙双方按照采购代理机构的竞争性磋商结果签订本合同。</w:t>
      </w:r>
      <w:r/>
    </w:p>
    <w:p>
      <w:pPr>
        <w:ind w:firstLine="482"/>
        <w:spacing w:line="360" w:lineRule="auto"/>
        <w:rPr>
          <w:rFonts w:ascii="宋体" w:hAnsi="宋体" w:cs="宋体"/>
          <w:sz w:val="24"/>
          <w:szCs w:val="24"/>
        </w:rPr>
      </w:pPr>
      <w:r>
        <w:rPr>
          <w:rFonts w:hint="eastAsia" w:ascii="宋体" w:hAnsi="宋体" w:cs="宋体"/>
          <w:b/>
          <w:color w:val="000000"/>
          <w:sz w:val="24"/>
          <w:szCs w:val="24"/>
        </w:rPr>
        <w:t xml:space="preserve"> </w:t>
      </w:r>
      <w:r>
        <w:rPr>
          <w:rFonts w:hint="eastAsia" w:ascii="宋体" w:hAnsi="宋体" w:cs="宋体"/>
          <w:sz w:val="24"/>
          <w:szCs w:val="24"/>
        </w:rPr>
        <w:t xml:space="preserve">1．合同的组成应包括下列文件：</w:t>
      </w:r>
      <w:r/>
    </w:p>
    <w:p>
      <w:pPr>
        <w:ind w:firstLine="480"/>
        <w:spacing w:line="360" w:lineRule="auto"/>
        <w:rPr>
          <w:rFonts w:ascii="宋体" w:hAnsi="宋体" w:cs="宋体"/>
          <w:sz w:val="24"/>
          <w:szCs w:val="24"/>
        </w:rPr>
      </w:pPr>
      <w:r>
        <w:rPr>
          <w:rFonts w:hint="eastAsia" w:ascii="宋体" w:hAnsi="宋体" w:cs="宋体"/>
          <w:sz w:val="24"/>
          <w:szCs w:val="24"/>
        </w:rPr>
        <w:t xml:space="preserve">（1） 合同书（包括补充协议）</w:t>
      </w:r>
      <w:r/>
    </w:p>
    <w:p>
      <w:pPr>
        <w:ind w:firstLine="480"/>
        <w:spacing w:line="360" w:lineRule="auto"/>
        <w:rPr>
          <w:rFonts w:ascii="宋体" w:hAnsi="宋体" w:cs="宋体"/>
          <w:sz w:val="24"/>
          <w:szCs w:val="24"/>
        </w:rPr>
      </w:pPr>
      <w:r>
        <w:rPr>
          <w:rFonts w:hint="eastAsia" w:ascii="宋体" w:hAnsi="宋体" w:cs="宋体"/>
          <w:sz w:val="24"/>
          <w:szCs w:val="24"/>
        </w:rPr>
        <w:t xml:space="preserve">（2） 中标通知书/成交通知书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（3） 投标报价书</w:t>
      </w:r>
      <w:r/>
    </w:p>
    <w:p>
      <w:pPr>
        <w:ind w:firstLine="480"/>
        <w:spacing w:line="360" w:lineRule="auto"/>
        <w:rPr>
          <w:rFonts w:ascii="宋体" w:hAnsi="宋体" w:cs="宋体"/>
          <w:sz w:val="24"/>
          <w:szCs w:val="24"/>
        </w:rPr>
      </w:pPr>
      <w:r>
        <w:rPr>
          <w:rFonts w:hint="eastAsia" w:ascii="宋体" w:hAnsi="宋体" w:cs="宋体"/>
          <w:sz w:val="24"/>
          <w:szCs w:val="24"/>
        </w:rPr>
        <w:t xml:space="preserve">（4） 技术资料、文件</w:t>
      </w:r>
      <w:r/>
    </w:p>
    <w:p>
      <w:pPr>
        <w:ind w:firstLine="480"/>
        <w:spacing w:line="360" w:lineRule="auto"/>
        <w:rPr>
          <w:rFonts w:ascii="宋体" w:hAnsi="宋体" w:cs="宋体"/>
          <w:sz w:val="24"/>
          <w:szCs w:val="24"/>
        </w:rPr>
      </w:pPr>
      <w:r>
        <w:rPr>
          <w:rFonts w:hint="eastAsia" w:ascii="宋体" w:hAnsi="宋体" w:cs="宋体"/>
          <w:sz w:val="24"/>
          <w:szCs w:val="24"/>
        </w:rPr>
        <w:t xml:space="preserve">（5） 投标文件</w:t>
      </w:r>
      <w:r/>
    </w:p>
    <w:p>
      <w:pPr>
        <w:ind w:firstLine="480"/>
        <w:spacing w:line="360" w:lineRule="auto"/>
        <w:rPr>
          <w:rFonts w:ascii="宋体" w:hAnsi="宋体" w:cs="宋体"/>
          <w:sz w:val="24"/>
          <w:szCs w:val="24"/>
        </w:rPr>
      </w:pPr>
      <w:r>
        <w:rPr>
          <w:rFonts w:hint="eastAsia" w:ascii="宋体" w:hAnsi="宋体" w:cs="宋体"/>
          <w:sz w:val="24"/>
          <w:szCs w:val="24"/>
        </w:rPr>
        <w:t xml:space="preserve">（6） 经双方确认进入合同的其他文件</w:t>
      </w:r>
      <w:r/>
    </w:p>
    <w:p>
      <w:pPr>
        <w:ind w:firstLine="480"/>
        <w:spacing w:line="360" w:lineRule="auto"/>
        <w:rPr>
          <w:rFonts w:ascii="宋体" w:hAnsi="宋体" w:cs="宋体"/>
          <w:sz w:val="24"/>
          <w:szCs w:val="24"/>
        </w:rPr>
      </w:pPr>
      <w:r>
        <w:rPr>
          <w:rFonts w:hint="eastAsia" w:ascii="宋体" w:hAnsi="宋体" w:cs="宋体"/>
          <w:sz w:val="24"/>
          <w:szCs w:val="24"/>
        </w:rPr>
        <w:t xml:space="preserve">以上列出了组成本合同的全部文件，如果合同文件之间存在差异或矛盾，则这些文件的优先权按上面所列顺序为准；如果合同执行过程中双方达成了具有合同效力的其它协议，则协议所涉及内容以达到时间在后者优先。如果图纸与文字有矛盾时则以文字为准。</w:t>
      </w:r>
      <w:r/>
    </w:p>
    <w:p>
      <w:pPr>
        <w:ind w:firstLine="480"/>
        <w:spacing w:line="360" w:lineRule="auto"/>
        <w:rPr>
          <w:rFonts w:ascii="宋体" w:hAnsi="宋体" w:cs="宋体"/>
          <w:sz w:val="24"/>
          <w:szCs w:val="24"/>
        </w:rPr>
      </w:pPr>
      <w:r>
        <w:rPr>
          <w:rFonts w:hint="eastAsia" w:ascii="宋体" w:hAnsi="宋体" w:cs="宋体"/>
          <w:sz w:val="24"/>
          <w:szCs w:val="24"/>
        </w:rPr>
        <w:t xml:space="preserve">2．乙方必须认真组织实施合同项目，保证项目如期完成。甲方将不定期组织检查项目执行情况。</w:t>
      </w:r>
      <w:r/>
    </w:p>
    <w:p>
      <w:pPr>
        <w:ind w:firstLine="480"/>
        <w:spacing w:line="360" w:lineRule="auto"/>
        <w:rPr>
          <w:rFonts w:ascii="宋体" w:hAnsi="宋体" w:cs="宋体"/>
          <w:sz w:val="24"/>
          <w:szCs w:val="24"/>
        </w:rPr>
      </w:pPr>
      <w:r>
        <w:rPr>
          <w:rFonts w:hint="eastAsia" w:ascii="宋体" w:hAnsi="宋体" w:cs="宋体"/>
          <w:sz w:val="24"/>
          <w:szCs w:val="24"/>
        </w:rPr>
        <w:t xml:space="preserve">3．在合同执行过程中，乙方如需要修改合同某项条款，需向甲方提出修改内容及理由的申请报告后，经甲方审核同意后，由甲、乙双方共同商定具体修改。</w:t>
      </w:r>
      <w:r/>
    </w:p>
    <w:p>
      <w:pPr>
        <w:ind w:firstLine="480"/>
        <w:spacing w:line="360" w:lineRule="auto"/>
        <w:rPr>
          <w:rFonts w:ascii="宋体" w:hAnsi="宋体" w:cs="宋体"/>
          <w:sz w:val="24"/>
          <w:szCs w:val="24"/>
        </w:rPr>
      </w:pPr>
      <w:r>
        <w:rPr>
          <w:rFonts w:hint="eastAsia" w:ascii="宋体" w:hAnsi="宋体" w:cs="宋体"/>
          <w:sz w:val="24"/>
          <w:szCs w:val="24"/>
        </w:rPr>
        <w:t xml:space="preserve">4．甲方中途无故撤消或不履行合同时，所拨经费不得追回，并承担善后处理所发生的一切费用。乙方因故撤消合同并非因不可抗拒的客观原因（如天灾等）而因主观原因（挪用合同经费等）致使合同无法执行时，应视不同情况，部分或全部退还所拨经费。</w:t>
      </w:r>
      <w:r/>
    </w:p>
    <w:p>
      <w:pPr>
        <w:ind w:firstLine="480"/>
        <w:spacing w:line="360" w:lineRule="auto"/>
        <w:rPr>
          <w:rFonts w:ascii="宋体" w:hAnsi="宋体" w:cs="宋体"/>
          <w:sz w:val="24"/>
          <w:szCs w:val="24"/>
        </w:rPr>
      </w:pPr>
      <w:r>
        <w:rPr>
          <w:rFonts w:hint="eastAsia" w:ascii="宋体" w:hAnsi="宋体" w:cs="宋体"/>
          <w:sz w:val="24"/>
          <w:szCs w:val="24"/>
        </w:rPr>
        <w:t xml:space="preserve">5．合同履行期限：</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6．本合同一经签订，甲、乙双方应负合同条款的法律责任。在执行过程中，若发生争议、纠纷时，应协商解决，直至提交经济法庭仲裁或向有管辖权的人民法院起诉。</w:t>
      </w:r>
      <w:r/>
    </w:p>
    <w:p>
      <w:pPr>
        <w:ind w:firstLine="480"/>
        <w:spacing w:line="360" w:lineRule="auto"/>
        <w:rPr>
          <w:rFonts w:ascii="宋体" w:hAnsi="宋体" w:cs="宋体"/>
          <w:sz w:val="24"/>
          <w:szCs w:val="24"/>
        </w:rPr>
      </w:pPr>
      <w:r>
        <w:rPr>
          <w:rFonts w:hint="eastAsia" w:ascii="宋体" w:hAnsi="宋体" w:cs="宋体"/>
          <w:sz w:val="24"/>
          <w:szCs w:val="24"/>
        </w:rPr>
        <w:t xml:space="preserve">7．本合同所协议的其它条款如下：</w:t>
      </w:r>
      <w:r/>
    </w:p>
    <w:p>
      <w:pPr>
        <w:ind w:firstLine="480"/>
        <w:spacing w:line="360" w:lineRule="auto"/>
        <w:rPr>
          <w:rFonts w:ascii="宋体" w:hAnsi="宋体" w:cs="宋体"/>
          <w:sz w:val="24"/>
          <w:szCs w:val="24"/>
        </w:rPr>
      </w:pPr>
      <w:r>
        <w:rPr>
          <w:rFonts w:hint="eastAsia" w:ascii="宋体" w:hAnsi="宋体" w:cs="宋体"/>
          <w:sz w:val="24"/>
          <w:szCs w:val="24"/>
        </w:rPr>
        <w:t xml:space="preserve">（1）付款计划：</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完成报告初稿并通过咨询会审查后，支付合同价款的40%；完成报审稿并通过省水利厅组织的专家审查后付合同价款的50%，最终通过政府审批后，一个月内一次性付清合同剩余价款。</w:t>
      </w:r>
      <w:r/>
    </w:p>
    <w:p>
      <w:pPr>
        <w:ind w:firstLine="480"/>
        <w:spacing w:line="360" w:lineRule="auto"/>
        <w:rPr>
          <w:rFonts w:ascii="宋体" w:hAnsi="宋体" w:cs="宋体"/>
          <w:sz w:val="24"/>
          <w:szCs w:val="24"/>
        </w:rPr>
      </w:pPr>
      <w:r>
        <w:rPr>
          <w:rFonts w:hint="eastAsia" w:ascii="宋体" w:hAnsi="宋体" w:cs="宋体"/>
          <w:sz w:val="24"/>
          <w:szCs w:val="24"/>
        </w:rPr>
        <w:t xml:space="preserve">8.成果</w:t>
      </w:r>
      <w:r/>
    </w:p>
    <w:p>
      <w:pPr>
        <w:ind w:firstLine="480"/>
        <w:spacing w:line="360" w:lineRule="auto"/>
        <w:rPr>
          <w:rFonts w:ascii="宋体" w:hAnsi="宋体" w:cs="宋体"/>
          <w:sz w:val="24"/>
          <w:szCs w:val="24"/>
        </w:rPr>
      </w:pPr>
      <w:r>
        <w:rPr>
          <w:rFonts w:hint="eastAsia" w:ascii="宋体" w:hAnsi="宋体" w:cs="宋体"/>
          <w:sz w:val="24"/>
          <w:szCs w:val="24"/>
        </w:rPr>
        <w:t xml:space="preserve">8.1编制成果：</w:t>
      </w:r>
      <w:r/>
    </w:p>
    <w:p>
      <w:pPr>
        <w:ind w:firstLine="480"/>
        <w:spacing w:line="360" w:lineRule="auto"/>
        <w:rPr>
          <w:rFonts w:ascii="宋体" w:hAnsi="宋体" w:cs="宋体"/>
          <w:sz w:val="24"/>
          <w:szCs w:val="24"/>
        </w:rPr>
      </w:pPr>
      <w:r>
        <w:rPr>
          <w:rFonts w:hint="eastAsia" w:ascii="宋体" w:hAnsi="宋体" w:cs="宋体"/>
          <w:sz w:val="24"/>
          <w:szCs w:val="24"/>
        </w:rPr>
        <w:t xml:space="preserve">成果至少应包括以上内容，但不限于以上内容，符合有关规划要求和技术规定，具备向政府报批的条件。</w:t>
      </w:r>
      <w:r/>
    </w:p>
    <w:p>
      <w:pPr>
        <w:ind w:firstLine="480"/>
        <w:spacing w:line="360" w:lineRule="auto"/>
        <w:rPr>
          <w:rFonts w:ascii="宋体" w:hAnsi="宋体" w:cs="宋体"/>
          <w:sz w:val="24"/>
          <w:szCs w:val="24"/>
        </w:rPr>
      </w:pPr>
      <w:r>
        <w:rPr>
          <w:rFonts w:hint="eastAsia" w:ascii="宋体" w:hAnsi="宋体" w:cs="宋体"/>
          <w:sz w:val="24"/>
          <w:szCs w:val="24"/>
        </w:rPr>
        <w:t xml:space="preserve">8.2全部成果所有权归甲方享有，未经甲方许可，乙方不得转让或挪作他用。</w:t>
      </w:r>
      <w:r/>
    </w:p>
    <w:p>
      <w:pPr>
        <w:ind w:firstLine="480"/>
        <w:spacing w:line="360" w:lineRule="auto"/>
        <w:rPr>
          <w:rFonts w:ascii="宋体" w:hAnsi="宋体" w:cs="宋体"/>
          <w:sz w:val="24"/>
          <w:szCs w:val="24"/>
        </w:rPr>
      </w:pPr>
      <w:r>
        <w:rPr>
          <w:rFonts w:hint="eastAsia" w:ascii="宋体" w:hAnsi="宋体" w:cs="宋体"/>
          <w:sz w:val="24"/>
          <w:szCs w:val="24"/>
        </w:rPr>
        <w:t xml:space="preserve">9. 廉政</w:t>
      </w:r>
      <w:r/>
    </w:p>
    <w:p>
      <w:pPr>
        <w:ind w:firstLine="480"/>
        <w:spacing w:line="360" w:lineRule="auto"/>
        <w:rPr>
          <w:rFonts w:ascii="宋体" w:hAnsi="宋体" w:cs="宋体"/>
          <w:sz w:val="24"/>
          <w:szCs w:val="24"/>
        </w:rPr>
      </w:pPr>
      <w:r>
        <w:rPr>
          <w:rFonts w:hint="eastAsia" w:ascii="宋体" w:hAnsi="宋体" w:cs="宋体"/>
          <w:sz w:val="24"/>
          <w:szCs w:val="24"/>
        </w:rPr>
        <w:t xml:space="preserve">9.1严格遵守党和国家有关法规及党风廉政建设各项规定，严格执行中央八项规定、省委十项规定和省水利厅实施细则精神。</w:t>
      </w:r>
      <w:r/>
    </w:p>
    <w:p>
      <w:pPr>
        <w:ind w:firstLine="480"/>
        <w:spacing w:line="360" w:lineRule="auto"/>
        <w:rPr>
          <w:rFonts w:ascii="宋体" w:hAnsi="宋体" w:cs="宋体"/>
          <w:sz w:val="24"/>
          <w:szCs w:val="24"/>
        </w:rPr>
      </w:pPr>
      <w:r>
        <w:rPr>
          <w:rFonts w:hint="eastAsia" w:ascii="宋体" w:hAnsi="宋体" w:cs="宋体"/>
          <w:sz w:val="24"/>
          <w:szCs w:val="24"/>
        </w:rPr>
        <w:t xml:space="preserve">9.2严格执行本合同的各项规定，自觉按合同办事。</w:t>
      </w:r>
      <w:r/>
    </w:p>
    <w:p>
      <w:pPr>
        <w:ind w:firstLine="480"/>
        <w:spacing w:line="360" w:lineRule="auto"/>
        <w:rPr>
          <w:rFonts w:ascii="宋体" w:hAnsi="宋体" w:cs="宋体"/>
          <w:sz w:val="24"/>
          <w:szCs w:val="24"/>
        </w:rPr>
      </w:pPr>
      <w:r>
        <w:rPr>
          <w:rFonts w:hint="eastAsia" w:ascii="宋体" w:hAnsi="宋体" w:cs="宋体"/>
          <w:sz w:val="24"/>
          <w:szCs w:val="24"/>
        </w:rPr>
        <w:t xml:space="preserve">9.3双方的业务活动坚持公开、公正、公平、诚信的原则（法律认定的商业秘密和合同文件另有规定除外），严禁损害国家和集体利益、违反工程建设管理规章制度。</w:t>
      </w:r>
      <w:r/>
    </w:p>
    <w:p>
      <w:pPr>
        <w:ind w:firstLine="480"/>
        <w:spacing w:line="360" w:lineRule="auto"/>
        <w:rPr>
          <w:rFonts w:ascii="宋体" w:hAnsi="宋体" w:cs="宋体"/>
          <w:sz w:val="24"/>
          <w:szCs w:val="24"/>
        </w:rPr>
      </w:pPr>
      <w:r>
        <w:rPr>
          <w:rFonts w:hint="eastAsia" w:ascii="宋体" w:hAnsi="宋体" w:cs="宋体"/>
          <w:sz w:val="24"/>
          <w:szCs w:val="24"/>
        </w:rPr>
        <w:t xml:space="preserve">9.4建立健全并严格执行党风廉政建设各项制度，开展反腐倡廉宣传教育，加强对本方工作人员的监督检查。</w:t>
      </w:r>
      <w:r/>
    </w:p>
    <w:p>
      <w:pPr>
        <w:ind w:firstLine="480"/>
        <w:spacing w:line="360" w:lineRule="auto"/>
        <w:rPr>
          <w:rFonts w:ascii="宋体" w:hAnsi="宋体" w:cs="宋体"/>
          <w:sz w:val="24"/>
          <w:szCs w:val="24"/>
        </w:rPr>
      </w:pPr>
      <w:r>
        <w:rPr>
          <w:rFonts w:hint="eastAsia" w:ascii="宋体" w:hAnsi="宋体" w:cs="宋体"/>
          <w:sz w:val="24"/>
          <w:szCs w:val="24"/>
        </w:rPr>
        <w:t xml:space="preserve">9.5发现对方在业务活动中有违反廉政规定的行为，有及时提醒和督促对方纠正的权利和义务，并加强对本方工作人员的批评教育，严肃查处违纪违规行为；发现重大违纪违法行为，应向执纪执法机关举报。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80"/>
        <w:spacing w:line="360" w:lineRule="auto"/>
        <w:rPr>
          <w:rFonts w:ascii="宋体" w:hAnsi="宋体" w:cs="宋体"/>
          <w:sz w:val="24"/>
          <w:szCs w:val="24"/>
        </w:rPr>
      </w:pPr>
      <w:r>
        <w:rPr>
          <w:rFonts w:hint="eastAsia" w:ascii="宋体" w:hAnsi="宋体" w:cs="宋体"/>
          <w:sz w:val="24"/>
          <w:szCs w:val="24"/>
        </w:rPr>
        <w:t xml:space="preserve">10．本合同书经甲乙双方法定代表人或其委托代理人签名并分别加盖本单位公章后生效。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11．解决争议的方法</w:t>
      </w:r>
      <w:r/>
    </w:p>
    <w:p>
      <w:pPr>
        <w:ind w:firstLine="480"/>
        <w:spacing w:line="360" w:lineRule="auto"/>
        <w:rPr>
          <w:rFonts w:ascii="宋体" w:hAnsi="宋体" w:cs="宋体"/>
          <w:sz w:val="24"/>
          <w:szCs w:val="24"/>
        </w:rPr>
      </w:pPr>
      <w:r>
        <w:rPr>
          <w:rFonts w:hint="eastAsia" w:ascii="宋体" w:hAnsi="宋体" w:cs="宋体"/>
          <w:sz w:val="24"/>
          <w:szCs w:val="24"/>
        </w:rPr>
        <w:t xml:space="preserve">11.1双方在签订、履行合同中所发生的一切争议，应通过友好协商解决。如协商不成，由甲方住所地人民法院管辖。</w:t>
      </w:r>
      <w:r/>
    </w:p>
    <w:p>
      <w:pPr>
        <w:ind w:firstLine="480"/>
        <w:spacing w:line="360" w:lineRule="auto"/>
        <w:rPr>
          <w:rFonts w:ascii="宋体" w:hAnsi="宋体" w:cs="宋体"/>
          <w:sz w:val="24"/>
          <w:szCs w:val="24"/>
        </w:rPr>
      </w:pPr>
      <w:r>
        <w:rPr>
          <w:rFonts w:hint="eastAsia" w:ascii="宋体" w:hAnsi="宋体" w:cs="宋体"/>
          <w:sz w:val="24"/>
          <w:szCs w:val="24"/>
        </w:rPr>
        <w:t xml:space="preserve">12、合同生效及其它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12.1 合同经双方法定代表人或授权委托代表人签字并加盖单位公章后生效。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12.2本合同未尽事宜，遵照中华人民共和国现行法律法规有关条文执行。</w:t>
      </w:r>
      <w:r/>
    </w:p>
    <w:p>
      <w:pPr>
        <w:ind w:firstLine="480"/>
        <w:spacing w:line="360" w:lineRule="auto"/>
        <w:rPr>
          <w:rFonts w:ascii="宋体" w:hAnsi="宋体" w:cs="宋体"/>
          <w:sz w:val="24"/>
          <w:szCs w:val="24"/>
        </w:rPr>
      </w:pPr>
      <w:r>
        <w:rPr>
          <w:rFonts w:hint="eastAsia" w:ascii="宋体" w:hAnsi="宋体" w:cs="宋体"/>
          <w:sz w:val="24"/>
          <w:szCs w:val="24"/>
        </w:rPr>
        <w:t xml:space="preserve">12.3 本合同正本一式三份，具有同等法律效力，甲方、乙方及财政监管部门各执一份。</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left="480" w:hanging="480"/>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甲方：                        乙方： </w:t>
      </w:r>
      <w:r/>
    </w:p>
    <w:p>
      <w:pPr>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before="120" w:after="120" w:line="0" w:lineRule="atLeast"/>
        <w:rPr>
          <w:rFonts w:ascii="宋体" w:hAnsi="Courier New" w:cs="Courier New"/>
          <w:color w:val="000000"/>
          <w:szCs w:val="21"/>
        </w:rPr>
      </w:pPr>
      <w:r>
        <w:rPr>
          <w:rFonts w:hint="eastAsia" w:ascii="宋体" w:hAnsi="宋体" w:cs="Courier New"/>
          <w:color w:val="000000"/>
          <w:sz w:val="24"/>
          <w:szCs w:val="24"/>
        </w:rPr>
        <w:t xml:space="preserve">联系电话：                    联系电话：          </w:t>
      </w:r>
      <w:r/>
    </w:p>
    <w:p>
      <w:pPr>
        <w:ind w:firstLine="420"/>
        <w:spacing w:line="500" w:lineRule="exact"/>
        <w:rPr>
          <w:rFonts w:ascii="宋体" w:hAnsi="宋体"/>
          <w:bCs/>
          <w:color w:val="000000"/>
          <w:sz w:val="24"/>
          <w:szCs w:val="21"/>
        </w:rPr>
      </w:pPr>
      <w:r>
        <w:rPr>
          <w:rFonts w:hint="eastAsia" w:ascii="Times New Roman" w:hAnsi="Times New Roman"/>
          <w:color w:val="000000"/>
          <w:szCs w:val="21"/>
        </w:rPr>
        <w:t xml:space="preserve">                                          </w:t>
      </w:r>
      <w:r>
        <w:rPr>
          <w:rFonts w:ascii="Times New Roman" w:hAnsi="Times New Roman"/>
          <w:color w:val="000000"/>
          <w:szCs w:val="21"/>
        </w:rPr>
        <w:t xml:space="preserve">签订日期：      年  </w:t>
      </w:r>
      <w:r>
        <w:rPr>
          <w:rFonts w:hint="eastAsia" w:ascii="Times New Roman" w:hAnsi="Times New Roman"/>
          <w:color w:val="000000"/>
          <w:szCs w:val="21"/>
        </w:rPr>
        <w:t xml:space="preserve">  </w:t>
      </w:r>
      <w:r>
        <w:rPr>
          <w:rFonts w:ascii="Times New Roman" w:hAnsi="Times New Roman"/>
          <w:color w:val="000000"/>
          <w:szCs w:val="21"/>
        </w:rPr>
        <w:t xml:space="preserve">月  </w:t>
      </w:r>
      <w:r>
        <w:rPr>
          <w:rFonts w:hint="eastAsia" w:ascii="Times New Roman" w:hAnsi="Times New Roman"/>
          <w:color w:val="000000"/>
          <w:szCs w:val="21"/>
        </w:rPr>
        <w:t xml:space="preserve"> </w:t>
      </w:r>
      <w:r>
        <w:rPr>
          <w:rFonts w:ascii="Times New Roman" w:hAnsi="Times New Roman"/>
          <w:color w:val="000000"/>
          <w:szCs w:val="21"/>
        </w:rPr>
        <w:t xml:space="preserve">日</w:t>
      </w:r>
      <w:bookmarkEnd w:id="172"/>
      <w:r/>
      <w:bookmarkEnd w:id="173"/>
      <w:r/>
      <w:bookmarkEnd w:id="174"/>
      <w:r/>
      <w:r/>
    </w:p>
    <w:p>
      <w:pPr>
        <w:jc w:val="center"/>
        <w:spacing w:before="120" w:after="120" w:line="0" w:lineRule="atLeast"/>
        <w:rPr>
          <w:rFonts w:ascii="黑体" w:hAnsi="Courier New" w:eastAsia="黑体" w:cs="Courier New"/>
          <w:bCs/>
          <w:color w:val="000000"/>
          <w:sz w:val="44"/>
          <w:szCs w:val="21"/>
        </w:rPr>
      </w:pPr>
      <w:r/>
      <w:bookmarkStart w:id="175" w:name="_Hlt16619369"/>
      <w:r/>
      <w:bookmarkEnd w:id="175"/>
      <w:r/>
      <w:bookmarkStart w:id="176" w:name="_Toc120614244"/>
      <w:r/>
      <w:bookmarkStart w:id="177" w:name="_Toc16938590"/>
      <w:r/>
      <w:bookmarkStart w:id="178" w:name="_Hlt16619350"/>
      <w:r/>
      <w:bookmarkStart w:id="179" w:name="_Toc20823346"/>
      <w:r/>
      <w:bookmarkStart w:id="180" w:name="_Toc462564139"/>
      <w:r/>
      <w:bookmarkStart w:id="181" w:name="_Toc479757211"/>
      <w:r>
        <w:rPr>
          <w:rFonts w:ascii="黑体" w:hAnsi="Courier New" w:eastAsia="黑体" w:cs="Courier New"/>
          <w:bCs/>
          <w:color w:val="000000"/>
          <w:sz w:val="44"/>
          <w:szCs w:val="21"/>
        </w:rPr>
        <w:br w:type="page" w:clear="all"/>
      </w:r>
      <w:bookmarkEnd w:id="176"/>
      <w:r/>
      <w:bookmarkEnd w:id="177"/>
      <w:r/>
      <w:bookmarkEnd w:id="178"/>
      <w:r/>
      <w:bookmarkEnd w:id="179"/>
      <w:r/>
      <w:bookmarkStart w:id="182" w:name="_Toc26554093"/>
      <w:r/>
      <w:bookmarkStart w:id="183" w:name="_Toc49090575"/>
      <w:r>
        <w:rPr>
          <w:rFonts w:hint="eastAsia" w:ascii="黑体" w:hAnsi="Courier New" w:eastAsia="黑体" w:cs="Courier New"/>
          <w:bCs/>
          <w:color w:val="000000"/>
          <w:sz w:val="44"/>
          <w:szCs w:val="21"/>
        </w:rPr>
        <w:t xml:space="preserve">第四章 采购需求</w:t>
      </w:r>
      <w:r/>
    </w:p>
    <w:p>
      <w:pPr>
        <w:spacing w:line="0" w:lineRule="atLeast"/>
        <w:rPr>
          <w:rFonts w:ascii="宋体" w:hAnsi="宋体"/>
          <w:b/>
          <w:i/>
          <w:iCs/>
          <w:color w:val="000000"/>
          <w:sz w:val="24"/>
          <w:szCs w:val="24"/>
          <w:u w:val="single"/>
        </w:rPr>
      </w:pPr>
      <w:r>
        <w:rPr>
          <w:rFonts w:hint="eastAsia" w:ascii="宋体" w:hAnsi="宋体"/>
          <w:b/>
          <w:i/>
          <w:iCs/>
          <w:color w:val="000000"/>
          <w:sz w:val="24"/>
          <w:szCs w:val="24"/>
          <w:u w:val="single"/>
        </w:rPr>
        <w:t xml:space="preserve">本文件中所有斜体下划线部分为实质性条款，如不满足，则为无效响应。</w:t>
      </w:r>
      <w:r/>
    </w:p>
    <w:p>
      <w:pPr>
        <w:ind w:firstLine="480"/>
        <w:spacing w:line="360" w:lineRule="auto"/>
        <w:widowControl/>
        <w:rPr>
          <w:rFonts w:ascii="Times New Roman" w:hAnsi="Times New Roman"/>
          <w:bCs/>
          <w:sz w:val="24"/>
          <w:szCs w:val="24"/>
        </w:rPr>
      </w:pPr>
      <w:r>
        <w:rPr>
          <w:rFonts w:ascii="Times New Roman" w:hAnsi="Times New Roman"/>
          <w:bCs/>
          <w:sz w:val="24"/>
          <w:szCs w:val="24"/>
        </w:rPr>
      </w:r>
      <w:r/>
    </w:p>
    <w:p>
      <w:pPr>
        <w:ind w:firstLine="482"/>
        <w:spacing w:line="360" w:lineRule="auto"/>
        <w:widowControl/>
        <w:rPr>
          <w:rFonts w:ascii="Times New Roman" w:hAnsi="Times New Roman"/>
          <w:bCs/>
          <w:sz w:val="24"/>
          <w:szCs w:val="24"/>
        </w:rPr>
      </w:pPr>
      <w:r>
        <w:rPr>
          <w:rFonts w:hint="eastAsia" w:ascii="宋体" w:hAnsi="宋体"/>
          <w:b/>
          <w:i/>
          <w:iCs/>
          <w:color w:val="000000"/>
          <w:sz w:val="24"/>
          <w:szCs w:val="24"/>
          <w:u w:val="single"/>
        </w:rPr>
        <w:t xml:space="preserve">本项目采购预算为人民币</w:t>
      </w:r>
      <w:r>
        <w:rPr>
          <w:rFonts w:hint="eastAsia" w:ascii="宋体" w:hAnsi="宋体"/>
          <w:b/>
          <w:i/>
          <w:iCs/>
          <w:color w:val="000000"/>
          <w:sz w:val="24"/>
          <w:szCs w:val="24"/>
          <w:u w:val="single"/>
          <w:lang w:eastAsia="zh-CN"/>
        </w:rPr>
        <w:t xml:space="preserve">伍</w:t>
      </w:r>
      <w:r>
        <w:rPr>
          <w:rFonts w:hint="eastAsia" w:ascii="宋体" w:hAnsi="宋体"/>
          <w:b/>
          <w:i/>
          <w:iCs/>
          <w:color w:val="000000"/>
          <w:sz w:val="24"/>
          <w:szCs w:val="24"/>
          <w:u w:val="single"/>
        </w:rPr>
        <w:t xml:space="preserve">拾万元整（￥：</w:t>
      </w:r>
      <w:r>
        <w:rPr>
          <w:rFonts w:hint="eastAsia" w:ascii="宋体" w:hAnsi="宋体"/>
          <w:b/>
          <w:i/>
          <w:iCs/>
          <w:color w:val="000000"/>
          <w:sz w:val="24"/>
          <w:szCs w:val="24"/>
          <w:u w:val="single"/>
          <w:lang w:val="en-US" w:eastAsia="zh-CN"/>
        </w:rPr>
        <w:t xml:space="preserve">5</w:t>
      </w:r>
      <w:r>
        <w:rPr>
          <w:rFonts w:hint="eastAsia" w:ascii="宋体" w:hAnsi="宋体"/>
          <w:b/>
          <w:i/>
          <w:iCs/>
          <w:color w:val="000000"/>
          <w:sz w:val="24"/>
          <w:szCs w:val="24"/>
          <w:u w:val="single"/>
        </w:rPr>
        <w:t xml:space="preserve">0</w:t>
      </w:r>
      <w:r>
        <w:rPr>
          <w:rFonts w:ascii="宋体" w:hAnsi="宋体"/>
          <w:b/>
          <w:i/>
          <w:iCs/>
          <w:color w:val="000000"/>
          <w:sz w:val="24"/>
          <w:szCs w:val="24"/>
          <w:u w:val="single"/>
        </w:rPr>
        <w:t xml:space="preserve">0000</w:t>
      </w:r>
      <w:r>
        <w:rPr>
          <w:rFonts w:hint="eastAsia" w:ascii="宋体" w:hAnsi="宋体"/>
          <w:b/>
          <w:i/>
          <w:iCs/>
          <w:color w:val="000000"/>
          <w:sz w:val="24"/>
          <w:szCs w:val="24"/>
          <w:u w:val="single"/>
        </w:rPr>
        <w:t xml:space="preserve">.00元），本项目最高限价为人民币</w:t>
      </w:r>
      <w:r>
        <w:rPr>
          <w:rFonts w:hint="eastAsia" w:ascii="宋体" w:hAnsi="宋体"/>
          <w:b/>
          <w:i/>
          <w:iCs/>
          <w:color w:val="000000"/>
          <w:sz w:val="24"/>
          <w:szCs w:val="24"/>
          <w:u w:val="single"/>
          <w:lang w:eastAsia="zh-CN"/>
        </w:rPr>
        <w:t xml:space="preserve">伍</w:t>
      </w:r>
      <w:r>
        <w:rPr>
          <w:rFonts w:hint="eastAsia" w:ascii="宋体" w:hAnsi="宋体"/>
          <w:b/>
          <w:i/>
          <w:iCs/>
          <w:color w:val="000000"/>
          <w:sz w:val="24"/>
          <w:szCs w:val="24"/>
          <w:u w:val="single"/>
        </w:rPr>
        <w:t xml:space="preserve">拾万元整（￥：</w:t>
      </w:r>
      <w:r>
        <w:rPr>
          <w:rFonts w:hint="eastAsia" w:ascii="宋体" w:hAnsi="宋体"/>
          <w:b/>
          <w:i/>
          <w:iCs/>
          <w:color w:val="000000"/>
          <w:sz w:val="24"/>
          <w:szCs w:val="24"/>
          <w:u w:val="single"/>
          <w:lang w:val="en-US" w:eastAsia="zh-CN"/>
        </w:rPr>
        <w:t xml:space="preserve">5</w:t>
      </w:r>
      <w:r>
        <w:rPr>
          <w:rFonts w:hint="eastAsia" w:ascii="宋体" w:hAnsi="宋体"/>
          <w:b/>
          <w:i/>
          <w:iCs/>
          <w:color w:val="000000"/>
          <w:sz w:val="24"/>
          <w:szCs w:val="24"/>
          <w:u w:val="single"/>
        </w:rPr>
        <w:t xml:space="preserve">0</w:t>
      </w:r>
      <w:r>
        <w:rPr>
          <w:rFonts w:ascii="宋体" w:hAnsi="宋体"/>
          <w:b/>
          <w:i/>
          <w:iCs/>
          <w:color w:val="000000"/>
          <w:sz w:val="24"/>
          <w:szCs w:val="24"/>
          <w:u w:val="single"/>
        </w:rPr>
        <w:t xml:space="preserve">0000</w:t>
      </w:r>
      <w:r>
        <w:rPr>
          <w:rFonts w:hint="eastAsia" w:ascii="宋体" w:hAnsi="宋体"/>
          <w:b/>
          <w:i/>
          <w:iCs/>
          <w:color w:val="000000"/>
          <w:sz w:val="24"/>
          <w:szCs w:val="24"/>
          <w:u w:val="single"/>
        </w:rPr>
        <w:t xml:space="preserve">.00元），响应报价超出预算价和最高限价的将视为无效响应。</w:t>
      </w:r>
      <w:r/>
    </w:p>
    <w:p>
      <w:pPr>
        <w:ind w:firstLine="482"/>
        <w:spacing w:line="500" w:lineRule="exact"/>
        <w:tabs>
          <w:tab w:val="left" w:pos="2625" w:leader="none"/>
        </w:tabs>
        <w:rPr>
          <w:b/>
          <w:bCs/>
          <w:color w:val="000000"/>
          <w:sz w:val="24"/>
        </w:rPr>
      </w:pPr>
      <w:r>
        <w:rPr>
          <w:rFonts w:hint="eastAsia"/>
          <w:b/>
          <w:bCs/>
          <w:color w:val="000000"/>
          <w:sz w:val="24"/>
        </w:rPr>
        <w:t xml:space="preserve">一、项目背景</w:t>
      </w:r>
      <w:r/>
    </w:p>
    <w:p>
      <w:pPr>
        <w:ind w:firstLine="480"/>
        <w:spacing w:line="500" w:lineRule="exact"/>
        <w:tabs>
          <w:tab w:val="left" w:pos="2625" w:leader="none"/>
        </w:tabs>
        <w:rPr>
          <w:bCs/>
          <w:color w:val="000000"/>
          <w:sz w:val="24"/>
        </w:rPr>
      </w:pPr>
      <w:r>
        <w:rPr>
          <w:rFonts w:hint="eastAsia"/>
          <w:bCs/>
          <w:color w:val="000000"/>
          <w:sz w:val="24"/>
        </w:rPr>
        <w:t xml:space="preserve">为认真贯彻党的二十大精神，强化水资源刚性约束，深入落实最严格水资源管理制度，促进水资源节约集约利用，坚持以水而定、量水而行，建立健全水资源刚性约束制度，深入落实最严格水资源管理，从严从细管好水资源，精打细算用好水资源，实施水资源全要素、全流程、全覆盖规范化管理，发挥水资源最大效益，努力打造可视化、可量化的典型示范，结合水利部和省委省政府工作部署要求，开展兴化市县域水资源管理规范化建设。</w:t>
      </w:r>
      <w:r/>
    </w:p>
    <w:p>
      <w:pPr>
        <w:ind w:firstLine="482"/>
        <w:spacing w:line="500" w:lineRule="exact"/>
        <w:tabs>
          <w:tab w:val="left" w:pos="2625" w:leader="none"/>
        </w:tabs>
        <w:rPr>
          <w:b/>
          <w:bCs/>
          <w:color w:val="000000"/>
          <w:sz w:val="24"/>
        </w:rPr>
      </w:pPr>
      <w:r>
        <w:rPr>
          <w:rFonts w:hint="eastAsia"/>
          <w:b/>
          <w:bCs/>
          <w:color w:val="000000"/>
          <w:sz w:val="24"/>
        </w:rPr>
        <w:t xml:space="preserve">二、编制要求</w:t>
      </w:r>
      <w:r/>
    </w:p>
    <w:p>
      <w:pPr>
        <w:ind w:firstLine="480"/>
        <w:spacing w:line="500" w:lineRule="exact"/>
        <w:tabs>
          <w:tab w:val="left" w:pos="2625" w:leader="none"/>
        </w:tabs>
        <w:rPr>
          <w:bCs/>
          <w:color w:val="000000"/>
          <w:sz w:val="24"/>
        </w:rPr>
      </w:pPr>
      <w:r>
        <w:rPr>
          <w:rFonts w:hint="eastAsia"/>
          <w:bCs/>
          <w:color w:val="000000"/>
          <w:sz w:val="24"/>
        </w:rPr>
        <w:t xml:space="preserve">制定县域水资源管理规范化建设实施计划，分解目标任务，通过加强组织协调、对标找差、创新示范等措施，加快推进县域水资源管理规范化建设，确保工作实效。</w:t>
      </w:r>
      <w:r/>
    </w:p>
    <w:p>
      <w:pPr>
        <w:ind w:firstLine="482"/>
        <w:spacing w:line="500" w:lineRule="exact"/>
        <w:tabs>
          <w:tab w:val="left" w:pos="2625" w:leader="none"/>
        </w:tabs>
        <w:rPr>
          <w:bCs/>
          <w:color w:val="000000"/>
          <w:sz w:val="24"/>
        </w:rPr>
      </w:pPr>
      <w:r>
        <w:rPr>
          <w:rFonts w:hint="eastAsia"/>
          <w:b/>
          <w:bCs/>
          <w:color w:val="000000"/>
          <w:sz w:val="24"/>
        </w:rPr>
        <w:t xml:space="preserve">三、编制依据</w:t>
      </w:r>
      <w:r/>
    </w:p>
    <w:p>
      <w:pPr>
        <w:ind w:firstLine="480"/>
        <w:spacing w:line="500" w:lineRule="exact"/>
        <w:tabs>
          <w:tab w:val="left" w:pos="2625" w:leader="none"/>
        </w:tabs>
        <w:rPr>
          <w:bCs/>
          <w:color w:val="000000"/>
          <w:sz w:val="24"/>
        </w:rPr>
      </w:pPr>
      <w:r>
        <w:rPr>
          <w:rFonts w:hint="eastAsia"/>
          <w:bCs/>
          <w:color w:val="000000"/>
          <w:sz w:val="24"/>
        </w:rPr>
        <w:t xml:space="preserve">《省水利厅关于印发县域水资源管理规范化建设实施意见的通知》（苏水资﹝2023﹞5号）以及省市最严格水资源管理考核、水资源规范化管理等要求。</w:t>
      </w:r>
      <w:r/>
    </w:p>
    <w:p>
      <w:pPr>
        <w:ind w:firstLine="482"/>
        <w:spacing w:line="500" w:lineRule="exact"/>
        <w:tabs>
          <w:tab w:val="left" w:pos="2625" w:leader="none"/>
        </w:tabs>
        <w:rPr>
          <w:b/>
          <w:bCs/>
          <w:color w:val="000000"/>
          <w:sz w:val="24"/>
        </w:rPr>
      </w:pPr>
      <w:r>
        <w:rPr>
          <w:rFonts w:hint="eastAsia"/>
          <w:b/>
          <w:bCs/>
          <w:color w:val="000000"/>
          <w:sz w:val="24"/>
        </w:rPr>
        <w:t xml:space="preserve">四、服务要求</w:t>
      </w:r>
      <w:r/>
    </w:p>
    <w:p>
      <w:pPr>
        <w:pStyle w:val="71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1、服务内容：</w:t>
      </w:r>
      <w:r/>
    </w:p>
    <w:p>
      <w:pPr>
        <w:pStyle w:val="715"/>
        <w:numPr>
          <w:ilvl w:val="0"/>
          <w:numId w:val="6"/>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按照《省水利厅关于印发县域水资源管理规范化建设实施意见的通知》（苏水资〔2023〕5号）要求，从总量效率控制、取水户监管、水资源保护、水资源管理基础、能力建设等方面，全面梳兴化市水资源管理基础情况，开展县域规范化建设，编制县域规范化建设实施方案，明确规范化建设任务、责任单位、计划安排等，开展规范化建设全过程技术支撑。在完成年度主要任务的基础上，编制县域水资源管理规范化建设总结，全面总结规范化建设经验做法，为全市水资源管理水平提升提供成效保障；</w:t>
      </w:r>
      <w:r/>
    </w:p>
    <w:p>
      <w:pPr>
        <w:pStyle w:val="715"/>
        <w:numPr>
          <w:ilvl w:val="0"/>
          <w:numId w:val="6"/>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配合探索取水户第三方技术服务“水管家”管理模式，搭建取用水管理第三方技术服务平台，为企业提供高效的信息化技术服务。该平台充分借鉴水资源信息化建设经验，优化操作流程，简化模块设置，明确各级管理职责和流程</w:t>
      </w:r>
      <w:r>
        <w:rPr>
          <w:rFonts w:hint="eastAsia" w:ascii="宋体" w:hAnsi="宋体" w:eastAsia="宋体" w:cs="宋体"/>
          <w:color w:val="000000"/>
          <w:sz w:val="24"/>
        </w:rPr>
        <w:t xml:space="preserve">，推动区域取用水管理体系规范高效运行。平台包含四大核心功能：一是远程抄表复核，由水务经理通过小程序上传表计读数照片，经多方远程确认并自动核查数据异常，提升管理效率；二是预警提醒，涵盖取水许可到期、超许可、超计划、计量检定到期等“四预”，通过小程序及时推送消息预警，有效防范政策风险；三是计划与总结的自动生成，覆盖年度计划、用水调整、取水总结、产量填报、用水定额等环节，实现智能化在线管理；四是支持用水统计直报，通过专设的企业季度水量统计功能，与统计直报周期衔接，显著减轻企业的数据复核压力，确保数据填报准确可溯。</w:t>
      </w:r>
      <w:r/>
    </w:p>
    <w:p>
      <w:pPr>
        <w:pStyle w:val="715"/>
        <w:numPr>
          <w:ilvl w:val="0"/>
          <w:numId w:val="6"/>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提供一单水权交易技术支撑服务（中国石油化工股份有限公司华东油气分公司泰州采油厂），开展全市取水户用水情况评估，及时发现超许可、超计划用水单位，对存在用水需求的单位，对接区域内及区域外有交易意向的可卖出水权的取水户，配合交易双方完成水权交易，保障交易流程合法合规。</w:t>
      </w:r>
      <w:r/>
    </w:p>
    <w:p>
      <w:pPr>
        <w:pStyle w:val="715"/>
        <w:numPr>
          <w:ilvl w:val="0"/>
          <w:numId w:val="6"/>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取水口规范化典型示范工程建设，选择3家(江苏申</w:t>
      </w:r>
      <w:r>
        <w:rPr>
          <w:rFonts w:hint="eastAsia" w:ascii="宋体" w:hAnsi="宋体" w:eastAsia="宋体" w:cs="宋体"/>
          <w:color w:val="000000"/>
          <w:sz w:val="24"/>
        </w:rPr>
        <w:t xml:space="preserve">源集团有限公司、兴化市明升双语学校、泰州京城环保产业有限公司）不同行业、不同水源类型取用水户围绕水资源规范化管理信息化集成终端设计与开发开展示范工程建设，遴选管理水平高、设施条件好、示范效果优良的现场进行规范化改造和提升。主要内容包括：对取水工程，完善取水许可和管理信息公示，设置告示牌、标志牌，在泵房内部上墙展示管理制度和取用水信息，同时对泵房本体及周边环境进行整体提升、清理和美化，通过上述内容，整体打造标准化、规范化的典型示范工程，提升区域取用水管理和水资源保护水平，为兴化市水资源管理现代化提供样板支撑。</w:t>
      </w:r>
      <w:r/>
    </w:p>
    <w:p>
      <w:pPr>
        <w:pStyle w:val="715"/>
        <w:spacing w:line="360" w:lineRule="auto"/>
        <w:tabs>
          <w:tab w:val="left" w:pos="40" w:leader="none"/>
        </w:tabs>
        <w:rPr>
          <w:color w:val="000000"/>
          <w:sz w:val="24"/>
        </w:rPr>
      </w:pPr>
      <w:r>
        <w:rPr>
          <w:color w:val="000000"/>
          <w:sz w:val="24"/>
        </w:rPr>
        <mc:AlternateContent>
          <mc:Choice Requires="wpg">
            <w:drawing>
              <wp:inline xmlns:wp="http://schemas.openxmlformats.org/drawingml/2006/wordprocessingDrawing" distT="0" distB="0" distL="0" distR="0">
                <wp:extent cx="5274310" cy="2006600"/>
                <wp:effectExtent l="0" t="0" r="2540" b="12700"/>
                <wp:docPr id="2"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r/>
                      </pic:nvPicPr>
                      <pic:blipFill>
                        <a:blip r:embed="rId13"/>
                        <a:stretch/>
                      </pic:blipFill>
                      <pic:spPr bwMode="auto">
                        <a:xfrm>
                          <a:off x="0" y="0"/>
                          <a:ext cx="5274310" cy="2006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158.0pt;mso-wrap-distance-left:0.0pt;mso-wrap-distance-top:0.0pt;mso-wrap-distance-right:0.0pt;mso-wrap-distance-bottom:0.0pt;" stroked="false">
                <v:path textboxrect="0,0,0,0"/>
                <v:imagedata r:id="rId13" o:title=""/>
              </v:shape>
            </w:pict>
          </mc:Fallback>
        </mc:AlternateContent>
      </w:r>
      <w:r/>
    </w:p>
    <w:p>
      <w:pPr>
        <w:pStyle w:val="715"/>
        <w:jc w:val="center"/>
        <w:spacing w:line="360" w:lineRule="auto"/>
        <w:tabs>
          <w:tab w:val="left" w:pos="40" w:leader="none"/>
        </w:tabs>
        <w:rPr>
          <w:b/>
          <w:color w:val="000000"/>
          <w:sz w:val="24"/>
        </w:rPr>
      </w:pPr>
      <w:r>
        <w:rPr>
          <w:rFonts w:hint="eastAsia"/>
          <w:b/>
          <w:color w:val="000000"/>
          <w:sz w:val="24"/>
        </w:rPr>
        <w:t xml:space="preserve">取水口告示牌</w:t>
      </w:r>
      <w:r/>
    </w:p>
    <w:p>
      <w:pPr>
        <w:pStyle w:val="715"/>
        <w:jc w:val="left"/>
        <w:spacing w:line="360" w:lineRule="auto"/>
        <w:tabs>
          <w:tab w:val="left" w:pos="40" w:leader="none"/>
        </w:tabs>
        <w:rPr>
          <w:rFonts w:ascii="方正北魏楷书简体" w:hAnsi="方正北魏楷书简体" w:eastAsia="方正北魏楷书简体" w:cs="方正北魏楷书简体"/>
          <w:b/>
          <w:color w:val="000000"/>
          <w:sz w:val="24"/>
          <w:szCs w:val="24"/>
        </w:rPr>
      </w:pPr>
      <w:r>
        <w:rPr>
          <w:rFonts w:hint="eastAsia" w:ascii="方正北魏楷书简体" w:hAnsi="方正北魏楷书简体" w:eastAsia="方正北魏楷书简体" w:cs="方正北魏楷书简体"/>
          <w:b/>
          <w:color w:val="000000"/>
          <w:sz w:val="24"/>
          <w:szCs w:val="24"/>
        </w:rPr>
        <w:t xml:space="preserve">尺寸：5m*2.3m；材质工艺：铝合金框架，焊接+折弯，金属表面喷户外专用漆</w:t>
      </w:r>
      <w:r/>
    </w:p>
    <w:p>
      <w:pPr>
        <w:pStyle w:val="715"/>
        <w:jc w:val="center"/>
        <w:spacing w:line="360" w:lineRule="auto"/>
        <w:tabs>
          <w:tab w:val="left" w:pos="40" w:leader="none"/>
        </w:tabs>
        <w:rPr>
          <w:color w:val="000000"/>
          <w:sz w:val="24"/>
        </w:rPr>
      </w:pPr>
      <w:r>
        <w:rPr>
          <w:rFonts w:hint="eastAsia"/>
          <w:color w:val="000000"/>
          <w:sz w:val="24"/>
        </w:rPr>
        <mc:AlternateContent>
          <mc:Choice Requires="wpg">
            <w:drawing>
              <wp:inline xmlns:wp="http://schemas.openxmlformats.org/drawingml/2006/wordprocessingDrawing" distT="0" distB="0" distL="0" distR="0">
                <wp:extent cx="2486025" cy="2753995"/>
                <wp:effectExtent l="0" t="0" r="9525" b="8255"/>
                <wp:docPr id="3" name="图片 2"/>
                <wp:cNvGraphicFramePr/>
                <a:graphic xmlns:a="http://schemas.openxmlformats.org/drawingml/2006/main">
                  <a:graphicData uri="http://schemas.openxmlformats.org/drawingml/2006/picture">
                    <pic:pic xmlns:pic="http://schemas.openxmlformats.org/drawingml/2006/picture">
                      <pic:nvPicPr>
                        <pic:cNvPr id="1027" name="图片 2"/>
                        <pic:cNvPicPr/>
                        <pic:nvPr/>
                      </pic:nvPicPr>
                      <pic:blipFill>
                        <a:blip r:embed="rId14"/>
                        <a:stretch/>
                      </pic:blipFill>
                      <pic:spPr bwMode="auto">
                        <a:xfrm>
                          <a:off x="0" y="0"/>
                          <a:ext cx="2486025" cy="275420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5.8pt;height:216.8pt;mso-wrap-distance-left:0.0pt;mso-wrap-distance-top:0.0pt;mso-wrap-distance-right:0.0pt;mso-wrap-distance-bottom:0.0pt;" stroked="false">
                <v:path textboxrect="0,0,0,0"/>
                <v:imagedata r:id="rId14" o:title=""/>
              </v:shape>
            </w:pict>
          </mc:Fallback>
        </mc:AlternateContent>
      </w:r>
      <w:r/>
    </w:p>
    <w:p>
      <w:pPr>
        <w:pStyle w:val="715"/>
        <w:jc w:val="center"/>
        <w:spacing w:line="360" w:lineRule="auto"/>
        <w:tabs>
          <w:tab w:val="left" w:pos="40" w:leader="none"/>
        </w:tabs>
        <w:rPr>
          <w:b/>
          <w:color w:val="000000"/>
          <w:sz w:val="24"/>
        </w:rPr>
      </w:pPr>
      <w:r>
        <w:rPr>
          <w:rFonts w:hint="eastAsia"/>
          <w:b/>
          <w:color w:val="000000"/>
          <w:sz w:val="24"/>
        </w:rPr>
        <w:t xml:space="preserve">取水口标志牌</w:t>
      </w:r>
      <w:r/>
    </w:p>
    <w:p>
      <w:pPr>
        <w:pStyle w:val="715"/>
        <w:jc w:val="left"/>
        <w:spacing w:line="360" w:lineRule="auto"/>
        <w:tabs>
          <w:tab w:val="left" w:pos="40" w:leader="none"/>
        </w:tabs>
        <w:rPr>
          <w:rFonts w:ascii="方正北魏楷书简体" w:hAnsi="方正北魏楷书简体" w:eastAsia="方正北魏楷书简体" w:cs="方正北魏楷书简体"/>
          <w:b/>
          <w:color w:val="000000"/>
          <w:sz w:val="24"/>
          <w:szCs w:val="24"/>
        </w:rPr>
      </w:pPr>
      <w:r>
        <w:rPr>
          <w:rFonts w:hint="eastAsia" w:ascii="方正北魏楷书简体" w:hAnsi="方正北魏楷书简体" w:eastAsia="方正北魏楷书简体" w:cs="方正北魏楷书简体"/>
          <w:b/>
          <w:color w:val="000000"/>
          <w:sz w:val="24"/>
          <w:szCs w:val="24"/>
        </w:rPr>
        <w:t xml:space="preserve">尺寸：2m*1m；材质工艺：铝合金框架，焊接+折弯，金属表面喷户外专用漆</w:t>
      </w:r>
      <w:r/>
    </w:p>
    <w:p>
      <w:pPr>
        <w:pStyle w:val="715"/>
        <w:jc w:val="center"/>
        <w:spacing w:line="360" w:lineRule="auto"/>
        <w:tabs>
          <w:tab w:val="left" w:pos="40" w:leader="none"/>
        </w:tabs>
        <w:rPr>
          <w:color w:val="000000"/>
          <w:sz w:val="24"/>
        </w:rPr>
      </w:pPr>
      <w:r>
        <w:rPr>
          <w:rFonts w:hint="eastAsia"/>
          <w:color w:val="000000"/>
          <w:sz w:val="24"/>
        </w:rPr>
        <mc:AlternateContent>
          <mc:Choice Requires="wpg">
            <w:drawing>
              <wp:inline xmlns:wp="http://schemas.openxmlformats.org/drawingml/2006/wordprocessingDrawing" distT="0" distB="0" distL="0" distR="0">
                <wp:extent cx="5274310" cy="2268220"/>
                <wp:effectExtent l="0" t="0" r="2540" b="17780"/>
                <wp:docPr id="4" name="图片 3"/>
                <wp:cNvGraphicFramePr/>
                <a:graphic xmlns:a="http://schemas.openxmlformats.org/drawingml/2006/main">
                  <a:graphicData uri="http://schemas.openxmlformats.org/drawingml/2006/picture">
                    <pic:pic xmlns:pic="http://schemas.openxmlformats.org/drawingml/2006/picture">
                      <pic:nvPicPr>
                        <pic:cNvPr id="1028" name="图片 3"/>
                        <pic:cNvPicPr/>
                        <pic:nvPr/>
                      </pic:nvPicPr>
                      <pic:blipFill>
                        <a:blip r:embed="rId15"/>
                        <a:stretch/>
                      </pic:blipFill>
                      <pic:spPr bwMode="auto">
                        <a:xfrm>
                          <a:off x="0" y="0"/>
                          <a:ext cx="5274310" cy="2268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178.6pt;mso-wrap-distance-left:0.0pt;mso-wrap-distance-top:0.0pt;mso-wrap-distance-right:0.0pt;mso-wrap-distance-bottom:0.0pt;" stroked="false">
                <v:path textboxrect="0,0,0,0"/>
                <v:imagedata r:id="rId15" o:title=""/>
              </v:shape>
            </w:pict>
          </mc:Fallback>
        </mc:AlternateContent>
      </w:r>
      <w:r/>
    </w:p>
    <w:p>
      <w:pPr>
        <w:pStyle w:val="715"/>
        <w:jc w:val="left"/>
        <w:spacing w:line="360" w:lineRule="auto"/>
        <w:tabs>
          <w:tab w:val="left" w:pos="40" w:leader="none"/>
        </w:tabs>
        <w:rPr>
          <w:rFonts w:ascii="方正北魏楷书简体" w:hAnsi="方正北魏楷书简体" w:eastAsia="方正北魏楷书简体" w:cs="方正北魏楷书简体"/>
          <w:b/>
          <w:color w:val="000000"/>
          <w:sz w:val="24"/>
          <w:szCs w:val="24"/>
        </w:rPr>
      </w:pPr>
      <w:r>
        <w:rPr>
          <w:rFonts w:hint="eastAsia" w:ascii="方正北魏楷书简体" w:hAnsi="方正北魏楷书简体" w:eastAsia="方正北魏楷书简体" w:cs="方正北魏楷书简体"/>
          <w:b/>
          <w:color w:val="000000"/>
          <w:sz w:val="24"/>
          <w:szCs w:val="24"/>
        </w:rPr>
        <w:t xml:space="preserve">尺寸：5m*2.3m；材质工艺：3mm亚克力、5mmpvc</w:t>
      </w:r>
      <w:r/>
    </w:p>
    <w:p>
      <w:pPr>
        <w:pStyle w:val="715"/>
        <w:jc w:val="center"/>
        <w:spacing w:line="360" w:lineRule="auto"/>
        <w:tabs>
          <w:tab w:val="left" w:pos="40" w:leader="none"/>
        </w:tabs>
        <w:rPr>
          <w:color w:val="000000"/>
          <w:sz w:val="24"/>
        </w:rPr>
      </w:pPr>
      <w:r>
        <w:rPr>
          <w:rFonts w:hint="eastAsia"/>
          <w:color w:val="000000"/>
          <w:sz w:val="24"/>
        </w:rPr>
        <mc:AlternateContent>
          <mc:Choice Requires="wpg">
            <w:drawing>
              <wp:inline xmlns:wp="http://schemas.openxmlformats.org/drawingml/2006/wordprocessingDrawing" distT="0" distB="0" distL="0" distR="0">
                <wp:extent cx="5274310" cy="2487295"/>
                <wp:effectExtent l="0" t="0" r="2540" b="8255"/>
                <wp:docPr id="5" name="图片 4"/>
                <wp:cNvGraphicFramePr/>
                <a:graphic xmlns:a="http://schemas.openxmlformats.org/drawingml/2006/main">
                  <a:graphicData uri="http://schemas.openxmlformats.org/drawingml/2006/picture">
                    <pic:pic xmlns:pic="http://schemas.openxmlformats.org/drawingml/2006/picture">
                      <pic:nvPicPr>
                        <pic:cNvPr id="1029" name="图片 4"/>
                        <pic:cNvPicPr/>
                        <pic:nvPr/>
                      </pic:nvPicPr>
                      <pic:blipFill>
                        <a:blip r:embed="rId16"/>
                        <a:stretch/>
                      </pic:blipFill>
                      <pic:spPr bwMode="auto">
                        <a:xfrm>
                          <a:off x="0" y="0"/>
                          <a:ext cx="5274310" cy="2487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3pt;height:195.8pt;mso-wrap-distance-left:0.0pt;mso-wrap-distance-top:0.0pt;mso-wrap-distance-right:0.0pt;mso-wrap-distance-bottom:0.0pt;" stroked="false">
                <v:path textboxrect="0,0,0,0"/>
                <v:imagedata r:id="rId16" o:title=""/>
              </v:shape>
            </w:pict>
          </mc:Fallback>
        </mc:AlternateContent>
      </w:r>
      <w:r/>
    </w:p>
    <w:p>
      <w:pPr>
        <w:pStyle w:val="715"/>
        <w:jc w:val="center"/>
        <w:spacing w:line="360" w:lineRule="auto"/>
        <w:tabs>
          <w:tab w:val="left" w:pos="40" w:leader="none"/>
        </w:tabs>
        <w:rPr>
          <w:b/>
          <w:color w:val="000000"/>
          <w:sz w:val="24"/>
        </w:rPr>
      </w:pPr>
      <w:r>
        <w:rPr>
          <w:rFonts w:hint="eastAsia"/>
          <w:b/>
          <w:color w:val="000000"/>
          <w:sz w:val="24"/>
        </w:rPr>
        <w:t xml:space="preserve">取水泵房管理信息制度上墙</w:t>
      </w:r>
      <w:r/>
    </w:p>
    <w:p>
      <w:pPr>
        <w:pStyle w:val="715"/>
        <w:spacing w:line="360" w:lineRule="auto"/>
        <w:tabs>
          <w:tab w:val="left" w:pos="40" w:leader="none"/>
        </w:tabs>
        <w:rPr>
          <w:rFonts w:ascii="方正北魏楷书简体" w:hAnsi="方正北魏楷书简体" w:eastAsia="方正北魏楷书简体" w:cs="方正北魏楷书简体"/>
          <w:b/>
          <w:color w:val="000000"/>
          <w:szCs w:val="21"/>
        </w:rPr>
      </w:pPr>
      <w:r>
        <w:rPr>
          <w:rFonts w:hint="eastAsia" w:ascii="方正北魏楷书简体" w:hAnsi="方正北魏楷书简体" w:eastAsia="方正北魏楷书简体" w:cs="方正北魏楷书简体"/>
          <w:b/>
          <w:color w:val="000000"/>
          <w:sz w:val="24"/>
          <w:szCs w:val="24"/>
        </w:rPr>
        <w:t xml:space="preserve">尺寸：高0.9m×宽0.6m；材质工艺：采用5mmPVC板，透明面板</w:t>
      </w:r>
      <w:r/>
    </w:p>
    <w:p>
      <w:pPr>
        <w:pStyle w:val="715"/>
        <w:jc w:val="center"/>
        <w:spacing w:line="360" w:lineRule="auto"/>
        <w:tabs>
          <w:tab w:val="left" w:pos="40" w:leader="none"/>
        </w:tabs>
        <w:rPr>
          <w:b/>
          <w:color w:val="000000"/>
          <w:sz w:val="24"/>
        </w:rPr>
      </w:pPr>
      <w:r>
        <w:rPr>
          <w:b/>
          <w:color w:val="000000"/>
          <w:sz w:val="24"/>
        </w:rPr>
      </w:r>
      <w:r/>
    </w:p>
    <w:p>
      <w:pPr>
        <w:pStyle w:val="715"/>
        <w:jc w:val="center"/>
        <w:spacing w:line="360" w:lineRule="auto"/>
        <w:tabs>
          <w:tab w:val="left" w:pos="40" w:leader="none"/>
        </w:tabs>
        <w:rPr>
          <w:color w:val="000000"/>
          <w:sz w:val="24"/>
        </w:rPr>
      </w:pPr>
      <w:r>
        <w:rPr>
          <w:rFonts w:hint="eastAsia"/>
          <w:color w:val="000000"/>
          <w:sz w:val="24"/>
        </w:rPr>
        <mc:AlternateContent>
          <mc:Choice Requires="wpg">
            <w:drawing>
              <wp:inline xmlns:wp="http://schemas.openxmlformats.org/drawingml/2006/wordprocessingDrawing" distT="0" distB="0" distL="0" distR="0">
                <wp:extent cx="4847590" cy="1932940"/>
                <wp:effectExtent l="0" t="0" r="10160" b="10160"/>
                <wp:docPr id="6" name="图片 6"/>
                <wp:cNvGraphicFramePr/>
                <a:graphic xmlns:a="http://schemas.openxmlformats.org/drawingml/2006/main">
                  <a:graphicData uri="http://schemas.openxmlformats.org/drawingml/2006/picture">
                    <pic:pic xmlns:pic="http://schemas.openxmlformats.org/drawingml/2006/picture">
                      <pic:nvPicPr>
                        <pic:cNvPr id="1031" name="图片 6"/>
                        <pic:cNvPicPr/>
                        <pic:nvPr/>
                      </pic:nvPicPr>
                      <pic:blipFill>
                        <a:blip r:embed="rId17"/>
                        <a:stretch/>
                      </pic:blipFill>
                      <pic:spPr bwMode="auto">
                        <a:xfrm>
                          <a:off x="0" y="0"/>
                          <a:ext cx="4847619" cy="193333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1.7pt;height:152.2pt;mso-wrap-distance-left:0.0pt;mso-wrap-distance-top:0.0pt;mso-wrap-distance-right:0.0pt;mso-wrap-distance-bottom:0.0pt;" stroked="false">
                <v:path textboxrect="0,0,0,0"/>
                <v:imagedata r:id="rId17" o:title=""/>
              </v:shape>
            </w:pict>
          </mc:Fallback>
        </mc:AlternateContent>
      </w:r>
      <w:r/>
    </w:p>
    <w:p>
      <w:pPr>
        <w:pStyle w:val="715"/>
        <w:jc w:val="center"/>
        <w:spacing w:line="360" w:lineRule="auto"/>
        <w:tabs>
          <w:tab w:val="left" w:pos="40" w:leader="none"/>
        </w:tabs>
        <w:rPr>
          <w:b/>
          <w:color w:val="000000"/>
          <w:sz w:val="24"/>
        </w:rPr>
      </w:pPr>
      <w:r>
        <w:rPr>
          <w:rFonts w:hint="eastAsia"/>
          <w:b/>
          <w:color w:val="000000"/>
          <w:sz w:val="24"/>
        </w:rPr>
        <w:t xml:space="preserve">水源地建设历程展墙</w:t>
      </w:r>
      <w:r/>
    </w:p>
    <w:p>
      <w:pPr>
        <w:pStyle w:val="715"/>
        <w:spacing w:line="360" w:lineRule="auto"/>
        <w:tabs>
          <w:tab w:val="left" w:pos="40" w:leader="none"/>
        </w:tabs>
        <w:rPr>
          <w:rFonts w:ascii="方正北魏楷书简体" w:hAnsi="方正北魏楷书简体" w:eastAsia="方正北魏楷书简体" w:cs="方正北魏楷书简体"/>
          <w:b/>
          <w:color w:val="000000"/>
          <w:sz w:val="24"/>
          <w:szCs w:val="24"/>
        </w:rPr>
      </w:pPr>
      <w:r>
        <w:rPr>
          <w:rFonts w:hint="eastAsia" w:ascii="方正北魏楷书简体" w:hAnsi="方正北魏楷书简体" w:eastAsia="方正北魏楷书简体" w:cs="方正北魏楷书简体"/>
          <w:b/>
          <w:color w:val="000000"/>
          <w:sz w:val="24"/>
          <w:szCs w:val="24"/>
        </w:rPr>
        <w:t xml:space="preserve">尺寸：高2.5m×宽8m；材质工艺：3mm亚克力、5mmpvc</w:t>
      </w:r>
      <w:r/>
    </w:p>
    <w:p>
      <w:pPr>
        <w:pStyle w:val="715"/>
        <w:jc w:val="center"/>
        <w:spacing w:line="360" w:lineRule="auto"/>
        <w:tabs>
          <w:tab w:val="left" w:pos="40" w:leader="none"/>
        </w:tabs>
        <w:rPr>
          <w:b/>
          <w:color w:val="000000"/>
          <w:sz w:val="24"/>
        </w:rPr>
      </w:pPr>
      <w:r>
        <w:rPr>
          <w:b/>
          <w:color w:val="000000"/>
          <w:sz w:val="24"/>
        </w:rPr>
      </w:r>
      <w:r/>
    </w:p>
    <w:p>
      <w:pPr>
        <w:pStyle w:val="715"/>
        <w:jc w:val="center"/>
        <w:spacing w:line="360" w:lineRule="auto"/>
        <w:tabs>
          <w:tab w:val="left" w:pos="40" w:leader="none"/>
        </w:tabs>
        <w:rPr>
          <w:b/>
          <w:color w:val="000000"/>
          <w:sz w:val="24"/>
        </w:rPr>
      </w:pPr>
      <w:r>
        <w:rPr>
          <w:b/>
          <w:color w:val="000000"/>
          <w:sz w:val="24"/>
        </w:rPr>
      </w:r>
      <w:r/>
    </w:p>
    <w:p>
      <w:pPr>
        <w:pStyle w:val="715"/>
        <w:spacing w:line="360" w:lineRule="auto"/>
        <w:rPr>
          <w:rFonts w:eastAsia="方正仿宋_GBK"/>
          <w:b/>
          <w:bCs/>
          <w:color w:val="000000"/>
          <w:sz w:val="24"/>
          <w:szCs w:val="32"/>
        </w:rPr>
      </w:pPr>
      <w:r>
        <w:rPr>
          <w:rFonts w:hint="eastAsia" w:eastAsia="方正仿宋_GBK"/>
          <w:b/>
          <w:bCs/>
          <w:color w:val="000000"/>
          <w:sz w:val="24"/>
          <w:szCs w:val="32"/>
        </w:rPr>
        <mc:AlternateContent>
          <mc:Choice Requires="wpg">
            <w:drawing>
              <wp:inline xmlns:wp="http://schemas.openxmlformats.org/drawingml/2006/wordprocessingDrawing" distT="0" distB="0" distL="0" distR="0">
                <wp:extent cx="5264150" cy="2373630"/>
                <wp:effectExtent l="0" t="0" r="12700" b="7620"/>
                <wp:docPr id="7" name="图片 24" descr="68c91f38ada85da5a3462b262271b0e"/>
                <wp:cNvGraphicFramePr/>
                <a:graphic xmlns:a="http://schemas.openxmlformats.org/drawingml/2006/main">
                  <a:graphicData uri="http://schemas.openxmlformats.org/drawingml/2006/picture">
                    <pic:pic xmlns:pic="http://schemas.openxmlformats.org/drawingml/2006/picture">
                      <pic:nvPicPr>
                        <pic:cNvPr id="1032" name="图片 24" descr="68c91f38ada85da5a3462b262271b0e"/>
                        <pic:cNvPicPr/>
                        <pic:nvPr/>
                      </pic:nvPicPr>
                      <pic:blipFill>
                        <a:blip r:embed="rId18"/>
                        <a:stretch/>
                      </pic:blipFill>
                      <pic:spPr bwMode="auto">
                        <a:xfrm>
                          <a:off x="0" y="0"/>
                          <a:ext cx="5264150" cy="2373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5pt;height:186.9pt;mso-wrap-distance-left:0.0pt;mso-wrap-distance-top:0.0pt;mso-wrap-distance-right:0.0pt;mso-wrap-distance-bottom:0.0pt;" stroked="false">
                <v:path textboxrect="0,0,0,0"/>
                <v:imagedata r:id="rId18" o:title=""/>
              </v:shape>
            </w:pict>
          </mc:Fallback>
        </mc:AlternateContent>
      </w:r>
      <w:r/>
    </w:p>
    <w:p>
      <w:pPr>
        <w:pStyle w:val="715"/>
        <w:spacing w:line="360" w:lineRule="auto"/>
        <w:tabs>
          <w:tab w:val="left" w:pos="40" w:leader="none"/>
        </w:tabs>
        <w:rPr>
          <w:rFonts w:ascii="方正北魏楷书简体" w:hAnsi="方正北魏楷书简体" w:eastAsia="方正北魏楷书简体" w:cs="方正北魏楷书简体"/>
          <w:b/>
          <w:color w:val="000000"/>
          <w:sz w:val="24"/>
          <w:szCs w:val="24"/>
        </w:rPr>
      </w:pPr>
      <w:r>
        <w:rPr>
          <w:rFonts w:hint="eastAsia" w:ascii="方正北魏楷书简体" w:hAnsi="方正北魏楷书简体" w:eastAsia="方正北魏楷书简体" w:cs="方正北魏楷书简体"/>
          <w:b/>
          <w:color w:val="000000"/>
          <w:sz w:val="24"/>
          <w:szCs w:val="24"/>
        </w:rPr>
        <w:t xml:space="preserve">尺寸：高0.6m×宽1.1m；材质工艺：镀锌板+21寸触控屏</w:t>
      </w:r>
      <w:r/>
    </w:p>
    <w:p>
      <w:pPr>
        <w:pStyle w:val="715"/>
        <w:spacing w:line="360" w:lineRule="auto"/>
        <w:rPr>
          <w:rFonts w:eastAsia="方正仿宋_GBK"/>
          <w:b/>
          <w:bCs/>
          <w:color w:val="000000"/>
          <w:sz w:val="24"/>
          <w:szCs w:val="32"/>
        </w:rPr>
      </w:pPr>
      <w:r>
        <w:rPr>
          <w:rFonts w:eastAsia="方正仿宋_GBK"/>
          <w:b/>
          <w:bCs/>
          <w:color w:val="000000"/>
          <w:sz w:val="24"/>
          <w:szCs w:val="32"/>
        </w:rPr>
      </w:r>
      <w:r/>
    </w:p>
    <w:p>
      <w:pPr>
        <w:pStyle w:val="715"/>
        <w:numPr>
          <w:ilvl w:val="0"/>
          <w:numId w:val="6"/>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配合制定取水户日常管理技术手册，明确取水许可管理、日常取水户抄表、用水统计系统填报相关操作要求；</w:t>
      </w:r>
      <w:r/>
    </w:p>
    <w:p>
      <w:pPr>
        <w:pStyle w:val="715"/>
        <w:numPr>
          <w:ilvl w:val="0"/>
          <w:numId w:val="6"/>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提供相关技术支撑服务，协助组织全市取水户水资源管理工作人员专业培训不少于1次。</w:t>
      </w:r>
      <w:r/>
    </w:p>
    <w:p>
      <w:pPr>
        <w:pStyle w:val="715"/>
        <w:numPr>
          <w:ilvl w:val="0"/>
          <w:numId w:val="6"/>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按照国考要求完善取水户档案材料整理。</w:t>
      </w:r>
      <w:r/>
    </w:p>
    <w:p>
      <w:pPr>
        <w:pStyle w:val="715"/>
        <w:numPr>
          <w:ilvl w:val="0"/>
          <w:numId w:val="0"/>
        </w:numPr>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技术方案编制要求：</w:t>
      </w:r>
      <w:r/>
    </w:p>
    <w:p>
      <w:pPr>
        <w:pStyle w:val="715"/>
        <w:numPr>
          <w:ilvl w:val="0"/>
          <w:numId w:val="7"/>
        </w:num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项目的理解与认识</w:t>
      </w:r>
      <w:r>
        <w:rPr>
          <w:rFonts w:hint="eastAsia" w:ascii="宋体" w:hAnsi="宋体" w:eastAsia="宋体" w:cs="宋体"/>
          <w:sz w:val="24"/>
          <w:lang w:eastAsia="zh-CN"/>
        </w:rPr>
        <w:t xml:space="preserve">：</w:t>
      </w:r>
      <w:r>
        <w:rPr>
          <w:rFonts w:hint="eastAsia" w:ascii="宋体" w:hAnsi="宋体" w:eastAsia="宋体" w:cs="宋体"/>
          <w:sz w:val="24"/>
        </w:rPr>
        <w:t xml:space="preserve">项目背景和需求理解深刻、针对</w:t>
      </w:r>
      <w:r>
        <w:rPr>
          <w:rFonts w:hint="eastAsia" w:ascii="宋体" w:hAnsi="宋体" w:eastAsia="宋体" w:cs="宋体"/>
          <w:sz w:val="24"/>
          <w:lang w:eastAsia="zh-CN"/>
        </w:rPr>
        <w:t xml:space="preserve">采购需求</w:t>
      </w:r>
      <w:r>
        <w:rPr>
          <w:rFonts w:hint="eastAsia" w:ascii="宋体" w:hAnsi="宋体" w:eastAsia="宋体" w:cs="宋体"/>
          <w:sz w:val="24"/>
        </w:rPr>
        <w:t xml:space="preserve">阐述完整、提出的任务清单针对性较强、切实可行</w:t>
      </w:r>
      <w:r>
        <w:rPr>
          <w:rFonts w:hint="eastAsia" w:ascii="宋体" w:hAnsi="宋体" w:eastAsia="宋体" w:cs="宋体"/>
          <w:sz w:val="24"/>
          <w:lang w:eastAsia="zh-CN"/>
        </w:rPr>
        <w:t xml:space="preserve">。</w:t>
      </w:r>
      <w:r/>
    </w:p>
    <w:p>
      <w:pPr>
        <w:pStyle w:val="715"/>
        <w:numPr>
          <w:ilvl w:val="0"/>
          <w:numId w:val="7"/>
        </w:numPr>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rPr>
        <w:t xml:space="preserve">总体工作方案的编制</w:t>
      </w:r>
      <w:r>
        <w:rPr>
          <w:rFonts w:hint="eastAsia" w:ascii="宋体" w:hAnsi="宋体" w:eastAsia="宋体" w:cs="宋体"/>
          <w:sz w:val="24"/>
          <w:lang w:eastAsia="zh-CN"/>
        </w:rPr>
        <w:t xml:space="preserve">：</w:t>
      </w:r>
      <w:r>
        <w:rPr>
          <w:rFonts w:hint="eastAsia" w:ascii="宋体" w:hAnsi="宋体" w:eastAsia="宋体" w:cs="宋体"/>
          <w:sz w:val="24"/>
        </w:rPr>
        <w:t xml:space="preserve">实施方案内容完整、提出的主要任务针对性强、工作大纲切实可行</w:t>
      </w:r>
      <w:r>
        <w:rPr>
          <w:rFonts w:hint="eastAsia" w:ascii="宋体" w:hAnsi="宋体" w:eastAsia="宋体" w:cs="宋体"/>
          <w:sz w:val="24"/>
          <w:lang w:eastAsia="zh-CN"/>
        </w:rPr>
        <w:t xml:space="preserve">。</w:t>
      </w:r>
      <w:r/>
    </w:p>
    <w:p>
      <w:pPr>
        <w:pStyle w:val="715"/>
        <w:numPr>
          <w:ilvl w:val="0"/>
          <w:numId w:val="7"/>
        </w:numPr>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rPr>
        <w:t xml:space="preserve">进度计划安排</w:t>
      </w:r>
      <w:r>
        <w:rPr>
          <w:rFonts w:hint="eastAsia" w:ascii="宋体" w:hAnsi="宋体" w:eastAsia="宋体" w:cs="宋体"/>
          <w:sz w:val="24"/>
          <w:lang w:eastAsia="zh-CN"/>
        </w:rPr>
        <w:t xml:space="preserve">：</w:t>
      </w:r>
      <w:r>
        <w:rPr>
          <w:rFonts w:hint="eastAsia" w:ascii="宋体" w:hAnsi="宋体" w:eastAsia="宋体" w:cs="宋体"/>
          <w:sz w:val="24"/>
        </w:rPr>
        <w:t xml:space="preserve">进度计划满足</w:t>
      </w:r>
      <w:r>
        <w:rPr>
          <w:rFonts w:hint="eastAsia" w:ascii="宋体" w:hAnsi="宋体" w:eastAsia="宋体" w:cs="宋体"/>
          <w:sz w:val="24"/>
          <w:lang w:eastAsia="zh-CN"/>
        </w:rPr>
        <w:t xml:space="preserve">采购需求</w:t>
      </w:r>
      <w:r>
        <w:rPr>
          <w:rFonts w:hint="eastAsia" w:ascii="宋体" w:hAnsi="宋体" w:eastAsia="宋体" w:cs="宋体"/>
          <w:sz w:val="24"/>
        </w:rPr>
        <w:t xml:space="preserve">要求，进度保证措施合理可行</w:t>
      </w:r>
      <w:r>
        <w:rPr>
          <w:rFonts w:hint="eastAsia" w:ascii="宋体" w:hAnsi="宋体" w:eastAsia="宋体" w:cs="宋体"/>
          <w:sz w:val="24"/>
          <w:lang w:eastAsia="zh-CN"/>
        </w:rPr>
        <w:t xml:space="preserve">。</w:t>
      </w:r>
      <w:r/>
    </w:p>
    <w:p>
      <w:pPr>
        <w:pStyle w:val="715"/>
        <w:numPr>
          <w:ilvl w:val="0"/>
          <w:numId w:val="7"/>
        </w:numPr>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eastAsia="宋体" w:cs="宋体"/>
          <w:sz w:val="24"/>
        </w:rPr>
        <w:t xml:space="preserve">服务承诺及合理化建议</w:t>
      </w:r>
      <w:r>
        <w:rPr>
          <w:rFonts w:hint="eastAsia" w:ascii="宋体" w:hAnsi="宋体" w:eastAsia="宋体" w:cs="宋体"/>
          <w:sz w:val="24"/>
          <w:lang w:eastAsia="zh-CN"/>
        </w:rPr>
        <w:t xml:space="preserve">：包含</w:t>
      </w:r>
      <w:r>
        <w:rPr>
          <w:rFonts w:hint="eastAsia" w:ascii="宋体" w:hAnsi="宋体" w:eastAsia="宋体" w:cs="宋体"/>
          <w:sz w:val="24"/>
        </w:rPr>
        <w:t xml:space="preserve">前期工作阶段、建设实施阶段、后评价阶段服务措施，措施齐全、合理可行</w:t>
      </w:r>
      <w:r>
        <w:rPr>
          <w:rFonts w:hint="eastAsia" w:ascii="宋体" w:hAnsi="宋体" w:eastAsia="宋体" w:cs="宋体"/>
          <w:sz w:val="24"/>
          <w:lang w:val="en-US" w:eastAsia="zh-CN"/>
        </w:rPr>
        <w:t xml:space="preserve">；</w:t>
      </w:r>
      <w:r>
        <w:rPr>
          <w:rFonts w:hint="eastAsia" w:ascii="宋体" w:hAnsi="宋体" w:eastAsia="宋体" w:cs="宋体"/>
          <w:sz w:val="24"/>
          <w:lang w:eastAsia="zh-CN"/>
        </w:rPr>
        <w:t xml:space="preserve">合理化建议有利于项目实施。</w:t>
      </w:r>
      <w:r/>
    </w:p>
    <w:p>
      <w:pPr>
        <w:numPr>
          <w:ilvl w:val="0"/>
          <w:numId w:val="8"/>
        </w:numPr>
        <w:ind w:firstLine="480"/>
        <w:keepLines w:val="0"/>
        <w:keepNext w:val="0"/>
        <w:pageBreakBefore w:val="0"/>
        <w:spacing w:line="360" w:lineRule="auto"/>
        <w:widowControl w:val="off"/>
        <w:tabs>
          <w:tab w:val="left" w:pos="2625" w:leader="none"/>
        </w:tabs>
      </w:pPr>
      <w:r>
        <w:rPr>
          <w:rFonts w:hint="eastAsia"/>
          <w:bCs/>
          <w:color w:val="000000"/>
          <w:sz w:val="24"/>
        </w:rPr>
        <w:t xml:space="preserve">成果包括：兴化市县域规范化建设实施方案、县域水资源管理规范化总结、</w:t>
      </w:r>
      <w:r>
        <w:rPr>
          <w:rFonts w:hint="eastAsia"/>
          <w:color w:val="000000"/>
          <w:sz w:val="24"/>
        </w:rPr>
        <w:t xml:space="preserve">取用水</w:t>
      </w:r>
      <w:r>
        <w:rPr>
          <w:rFonts w:hint="eastAsia"/>
          <w:bCs/>
          <w:color w:val="000000"/>
          <w:sz w:val="24"/>
        </w:rPr>
        <w:t xml:space="preserve">日常管理手册、国考要求归档资料</w:t>
      </w:r>
      <w:r>
        <w:rPr>
          <w:rFonts w:hint="eastAsia"/>
          <w:color w:val="000000"/>
          <w:sz w:val="24"/>
        </w:rPr>
        <w:t xml:space="preserve">。</w:t>
      </w:r>
      <w:r/>
    </w:p>
    <w:p>
      <w:pPr>
        <w:ind w:firstLine="480"/>
        <w:keepLines w:val="0"/>
        <w:keepNext w:val="0"/>
        <w:pageBreakBefore w:val="0"/>
        <w:spacing w:line="360" w:lineRule="auto"/>
        <w:widowControl w:val="off"/>
        <w:tabs>
          <w:tab w:val="left" w:pos="2625" w:leader="none"/>
        </w:tabs>
        <w:rPr>
          <w:rFonts w:hint="eastAsia"/>
          <w:color w:val="000000"/>
          <w:sz w:val="24"/>
        </w:rPr>
      </w:pPr>
      <w:r>
        <w:rPr>
          <w:rFonts w:hint="eastAsia"/>
          <w:color w:val="000000"/>
          <w:sz w:val="24"/>
          <w:lang w:val="en-US" w:eastAsia="zh-CN"/>
        </w:rPr>
        <w:t xml:space="preserve">4</w:t>
      </w:r>
      <w:r>
        <w:rPr>
          <w:rFonts w:hint="eastAsia"/>
          <w:color w:val="000000"/>
          <w:sz w:val="24"/>
        </w:rPr>
        <w:t xml:space="preserve">、成果要求：符合国家、江苏省、水利部及相关部门、行业颁发的现行有关规程规范要求。</w:t>
      </w:r>
      <w:r/>
    </w:p>
    <w:p>
      <w:pPr>
        <w:ind w:firstLine="482"/>
        <w:spacing w:line="500" w:lineRule="exact"/>
        <w:tabs>
          <w:tab w:val="left" w:pos="2625" w:leader="none"/>
        </w:tabs>
        <w:rPr>
          <w:rFonts w:hint="eastAsia" w:ascii="宋体" w:hAnsi="宋体" w:cs="宋体"/>
          <w:sz w:val="24"/>
          <w:lang w:val="en-US" w:eastAsia="zh-CN"/>
        </w:rPr>
      </w:pPr>
      <w:r>
        <w:rPr>
          <w:rFonts w:hint="eastAsia"/>
          <w:b/>
          <w:bCs/>
          <w:color w:val="000000"/>
          <w:sz w:val="24"/>
          <w:lang w:eastAsia="zh-CN"/>
        </w:rPr>
        <w:t xml:space="preserve">五</w:t>
      </w:r>
      <w:r>
        <w:rPr>
          <w:rFonts w:hint="eastAsia"/>
          <w:b/>
          <w:bCs/>
          <w:color w:val="000000"/>
          <w:sz w:val="24"/>
        </w:rPr>
        <w:t xml:space="preserve">、</w:t>
      </w:r>
      <w:r>
        <w:rPr>
          <w:rFonts w:hint="eastAsia"/>
          <w:b/>
          <w:bCs/>
          <w:color w:val="000000"/>
          <w:sz w:val="24"/>
          <w:lang w:eastAsia="zh-CN"/>
        </w:rPr>
        <w:t xml:space="preserve">商务</w:t>
      </w:r>
      <w:r>
        <w:rPr>
          <w:rFonts w:hint="eastAsia"/>
          <w:b/>
          <w:bCs/>
          <w:color w:val="000000"/>
          <w:sz w:val="24"/>
        </w:rPr>
        <w:t xml:space="preserve">要求</w:t>
      </w:r>
      <w:r/>
    </w:p>
    <w:p>
      <w:pPr>
        <w:ind w:firstLine="480"/>
        <w:spacing w:line="360" w:lineRule="auto"/>
        <w:tabs>
          <w:tab w:val="left" w:pos="2625" w:leader="none"/>
        </w:tabs>
        <w:rPr>
          <w:rFonts w:hint="eastAsia"/>
          <w:color w:val="000000"/>
          <w:sz w:val="24"/>
          <w:lang w:val="en-US" w:eastAsia="zh-CN"/>
        </w:rPr>
      </w:pPr>
      <w:r>
        <w:rPr>
          <w:rFonts w:hint="eastAsia"/>
          <w:color w:val="000000"/>
          <w:sz w:val="24"/>
          <w:lang w:val="en-US" w:eastAsia="zh-CN"/>
        </w:rPr>
        <w:t xml:space="preserve">1</w:t>
      </w:r>
      <w:r>
        <w:rPr>
          <w:rFonts w:hint="eastAsia"/>
          <w:color w:val="000000"/>
          <w:sz w:val="24"/>
        </w:rPr>
        <w:t xml:space="preserve">、采购预算价：</w:t>
      </w:r>
      <w:r>
        <w:rPr>
          <w:rFonts w:hint="eastAsia"/>
          <w:color w:val="000000"/>
          <w:sz w:val="24"/>
          <w:lang w:eastAsia="zh-CN"/>
        </w:rPr>
        <w:t xml:space="preserve">人民币伍拾万元（￥</w:t>
      </w:r>
      <w:r>
        <w:rPr>
          <w:rFonts w:hint="eastAsia"/>
          <w:color w:val="000000"/>
          <w:sz w:val="24"/>
        </w:rPr>
        <w:t xml:space="preserve">500000</w:t>
      </w:r>
      <w:r>
        <w:rPr>
          <w:rFonts w:hint="eastAsia"/>
          <w:color w:val="000000"/>
          <w:sz w:val="24"/>
          <w:lang w:val="en-US" w:eastAsia="zh-CN"/>
        </w:rPr>
        <w:t xml:space="preserve">.00）。</w:t>
      </w:r>
      <w:r/>
    </w:p>
    <w:p>
      <w:pPr>
        <w:ind w:firstLine="480"/>
        <w:spacing w:line="360" w:lineRule="auto"/>
        <w:tabs>
          <w:tab w:val="left" w:pos="2625" w:leader="none"/>
        </w:tabs>
        <w:rPr>
          <w:rFonts w:hint="default"/>
          <w:color w:val="000000"/>
          <w:sz w:val="24"/>
          <w:lang w:val="en-US"/>
        </w:rPr>
      </w:pPr>
      <w:r>
        <w:rPr>
          <w:rFonts w:hint="eastAsia"/>
          <w:color w:val="000000"/>
          <w:sz w:val="24"/>
          <w:lang w:val="en-US" w:eastAsia="zh-CN"/>
        </w:rPr>
        <w:t xml:space="preserve">2、</w:t>
      </w:r>
      <w:r>
        <w:rPr>
          <w:rFonts w:hint="eastAsia"/>
          <w:color w:val="000000"/>
          <w:sz w:val="24"/>
        </w:rPr>
        <w:t xml:space="preserve">本项目报价应包括供应商为完成本项目规定工作所承担的全部费用，包括服务工作、人员工资、成本、税金、利润等，发生的住宿、餐饮、交通费自理，并考虑了应由供应商承担的义务、责任和风险所发生的一切与履行合同有关的一切费用。</w:t>
      </w:r>
      <w:r/>
    </w:p>
    <w:p>
      <w:pPr>
        <w:ind w:firstLine="480"/>
        <w:spacing w:line="360" w:lineRule="auto"/>
        <w:tabs>
          <w:tab w:val="left" w:pos="2625" w:leader="none"/>
        </w:tabs>
        <w:rPr>
          <w:rFonts w:hint="eastAsia"/>
          <w:color w:val="000000"/>
          <w:sz w:val="24"/>
          <w:lang w:eastAsia="zh-CN"/>
        </w:rPr>
      </w:pPr>
      <w:r>
        <w:rPr>
          <w:rFonts w:hint="eastAsia"/>
          <w:color w:val="000000"/>
          <w:sz w:val="24"/>
          <w:lang w:val="en-US" w:eastAsia="zh-CN"/>
        </w:rPr>
        <w:t xml:space="preserve">3</w:t>
      </w:r>
      <w:r>
        <w:rPr>
          <w:rFonts w:hint="eastAsia"/>
          <w:color w:val="000000"/>
          <w:sz w:val="24"/>
        </w:rPr>
        <w:t xml:space="preserve">、合同履行期限：合同签订后90个工作日完成</w:t>
      </w:r>
      <w:r>
        <w:rPr>
          <w:rFonts w:hint="eastAsia"/>
          <w:color w:val="000000"/>
          <w:sz w:val="24"/>
          <w:lang w:eastAsia="zh-CN"/>
        </w:rPr>
        <w:t xml:space="preserve">。</w:t>
      </w:r>
      <w:r/>
    </w:p>
    <w:p>
      <w:pPr>
        <w:ind w:firstLine="480"/>
        <w:spacing w:line="360" w:lineRule="auto"/>
        <w:tabs>
          <w:tab w:val="left" w:pos="2625" w:leader="none"/>
        </w:tabs>
        <w:rPr>
          <w:rFonts w:hint="eastAsia"/>
          <w:color w:val="000000"/>
          <w:sz w:val="24"/>
          <w:lang w:eastAsia="zh-CN"/>
        </w:rPr>
      </w:pPr>
      <w:r>
        <w:rPr>
          <w:rFonts w:hint="eastAsia"/>
          <w:color w:val="000000"/>
          <w:sz w:val="24"/>
          <w:lang w:val="en-US" w:eastAsia="zh-CN"/>
        </w:rPr>
        <w:t xml:space="preserve">4</w:t>
      </w:r>
      <w:r>
        <w:rPr>
          <w:rFonts w:hint="eastAsia"/>
          <w:color w:val="000000"/>
          <w:sz w:val="24"/>
        </w:rPr>
        <w:t xml:space="preserve">、验收要求：通过省市验收</w:t>
      </w:r>
      <w:r>
        <w:rPr>
          <w:rFonts w:hint="eastAsia"/>
          <w:color w:val="000000"/>
          <w:sz w:val="24"/>
          <w:lang w:eastAsia="zh-CN"/>
        </w:rPr>
        <w:t xml:space="preserve">。</w:t>
      </w:r>
      <w:r/>
    </w:p>
    <w:p>
      <w:pPr>
        <w:pStyle w:val="715"/>
        <w:ind w:firstLine="480"/>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5、付款方式：省市验收合格后全额支付。</w:t>
      </w:r>
      <w:r/>
    </w:p>
    <w:p>
      <w:pPr>
        <w:pStyle w:val="973"/>
        <w:ind w:firstLine="480"/>
        <w:spacing w:line="440" w:lineRule="exact"/>
        <w:rPr>
          <w:rFonts w:ascii="Times New Roman" w:hAnsi="Times New Roman"/>
          <w:b/>
          <w:bCs/>
          <w:i/>
          <w:sz w:val="24"/>
          <w:szCs w:val="24"/>
        </w:rPr>
      </w:pPr>
      <w:r>
        <w:rPr>
          <w:rFonts w:ascii="Times New Roman" w:hAnsi="Times New Roman"/>
          <w:b/>
          <w:bCs/>
          <w:i/>
          <w:sz w:val="24"/>
          <w:szCs w:val="24"/>
        </w:rPr>
      </w:r>
      <w:r/>
    </w:p>
    <w:p>
      <w:pPr>
        <w:ind w:firstLine="480"/>
        <w:keepLines/>
        <w:keepNext/>
        <w:spacing w:line="360" w:lineRule="auto"/>
        <w:rPr>
          <w:rFonts w:ascii="Times New Roman" w:hAnsi="Times New Roman"/>
          <w:bCs/>
          <w:sz w:val="24"/>
          <w:szCs w:val="24"/>
        </w:rPr>
      </w:pPr>
      <w:r>
        <w:rPr>
          <w:rFonts w:hint="eastAsia" w:ascii="Times New Roman" w:hAnsi="Times New Roman"/>
          <w:bCs/>
          <w:sz w:val="24"/>
          <w:szCs w:val="24"/>
          <w:lang w:eastAsia="zh-CN"/>
        </w:rPr>
        <w:t xml:space="preserve">六</w:t>
      </w:r>
      <w:r>
        <w:rPr>
          <w:rFonts w:hint="eastAsia" w:ascii="Times New Roman" w:hAnsi="Times New Roman"/>
          <w:bCs/>
          <w:sz w:val="24"/>
          <w:szCs w:val="24"/>
        </w:rPr>
        <w:t xml:space="preserve">、本项目所属行业：其他未列明行业。</w:t>
      </w:r>
      <w:r/>
    </w:p>
    <w:p>
      <w:pPr>
        <w:pStyle w:val="973"/>
        <w:ind w:firstLine="480"/>
        <w:spacing w:line="440" w:lineRule="exact"/>
        <w:rPr>
          <w:rFonts w:ascii="Times New Roman" w:hAnsi="Times New Roman"/>
          <w:b/>
          <w:bCs/>
          <w:i/>
          <w:sz w:val="24"/>
          <w:szCs w:val="24"/>
        </w:rPr>
      </w:pPr>
      <w:r>
        <w:rPr>
          <w:rFonts w:ascii="Times New Roman" w:hAnsi="Times New Roman"/>
          <w:b/>
          <w:bCs/>
          <w:i/>
          <w:sz w:val="24"/>
          <w:szCs w:val="24"/>
        </w:rPr>
      </w:r>
      <w:r/>
    </w:p>
    <w:p>
      <w:pPr>
        <w:pStyle w:val="973"/>
        <w:ind w:firstLine="480"/>
        <w:spacing w:line="440" w:lineRule="exact"/>
        <w:rPr>
          <w:rFonts w:ascii="Times New Roman" w:hAnsi="Times New Roman"/>
          <w:sz w:val="24"/>
          <w:szCs w:val="24"/>
        </w:rPr>
      </w:pPr>
      <w:r>
        <w:rPr>
          <w:rFonts w:ascii="Times New Roman" w:hAnsi="Times New Roman"/>
          <w:sz w:val="24"/>
          <w:szCs w:val="24"/>
        </w:rPr>
      </w:r>
      <w:r/>
    </w:p>
    <w:p>
      <w:pPr>
        <w:jc w:val="center"/>
        <w:keepNext/>
        <w:rPr>
          <w:rFonts w:ascii="黑体" w:hAnsi="Times New Roman" w:eastAsia="黑体"/>
          <w:bCs/>
          <w:color w:val="000000"/>
          <w:sz w:val="44"/>
          <w:szCs w:val="28"/>
        </w:rPr>
        <w:outlineLvl w:val="0"/>
      </w:pPr>
      <w:r/>
      <w:bookmarkStart w:id="184" w:name="_Toc120614281"/>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15"/>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15"/>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center"/>
        <w:keepNext/>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评审方法与评审标准</w:t>
      </w:r>
      <w:r/>
    </w:p>
    <w:p>
      <w:pPr>
        <w:rPr>
          <w:rFonts w:ascii="Times New Roman" w:hAnsi="Times New Roman"/>
          <w:color w:val="000000"/>
          <w:szCs w:val="21"/>
        </w:rPr>
      </w:pPr>
      <w:r>
        <w:rPr>
          <w:rFonts w:ascii="Times New Roman" w:hAnsi="Times New Roman"/>
          <w:color w:val="000000"/>
          <w:szCs w:val="21"/>
        </w:rPr>
      </w:r>
      <w:r/>
    </w:p>
    <w:p>
      <w:pPr>
        <w:ind w:firstLine="441"/>
        <w:jc w:val="left"/>
        <w:spacing w:before="120" w:after="120" w:line="360" w:lineRule="auto"/>
        <w:rPr>
          <w:rFonts w:ascii="宋体" w:hAnsi="宋体"/>
          <w:b/>
          <w:color w:val="000000"/>
          <w:sz w:val="24"/>
          <w:szCs w:val="24"/>
        </w:rPr>
      </w:pPr>
      <w:r>
        <w:rPr>
          <w:rFonts w:hint="eastAsia" w:ascii="宋体" w:hAnsi="宋体"/>
          <w:b/>
          <w:color w:val="000000"/>
          <w:sz w:val="24"/>
          <w:szCs w:val="24"/>
        </w:rPr>
        <w:t xml:space="preserve">政府采购政策功能落实</w:t>
      </w:r>
      <w:r/>
    </w:p>
    <w:p>
      <w:pPr>
        <w:ind w:firstLine="480"/>
        <w:jc w:val="left"/>
        <w:spacing w:before="120" w:after="120"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本项目专门面向中小企业采购</w:t>
      </w:r>
      <w:r>
        <w:rPr>
          <w:rFonts w:hint="eastAsia" w:ascii="宋体" w:hAnsi="宋体"/>
          <w:color w:val="000000"/>
          <w:sz w:val="24"/>
          <w:szCs w:val="24"/>
          <w:lang w:eastAsia="zh-CN"/>
        </w:rPr>
        <w:t xml:space="preserve">。</w:t>
      </w:r>
      <w:r/>
    </w:p>
    <w:p>
      <w:pPr>
        <w:pStyle w:val="715"/>
      </w:pPr>
      <w:r/>
      <w:r/>
    </w:p>
    <w:p>
      <w:pPr>
        <w:ind w:firstLine="482"/>
        <w:jc w:val="left"/>
        <w:spacing w:before="120" w:after="120" w:line="0" w:lineRule="atLeast"/>
        <w:rPr>
          <w:rFonts w:ascii="宋体" w:hAnsi="宋体"/>
          <w:b/>
          <w:color w:val="000000"/>
          <w:sz w:val="24"/>
          <w:szCs w:val="24"/>
        </w:rPr>
      </w:pPr>
      <w:r>
        <w:rPr>
          <w:rFonts w:hint="eastAsia" w:ascii="宋体" w:hAnsi="宋体"/>
          <w:b/>
          <w:color w:val="000000"/>
          <w:sz w:val="24"/>
          <w:szCs w:val="24"/>
        </w:rPr>
        <w:t xml:space="preserve">评审方法与评审标准</w:t>
      </w:r>
      <w:r/>
    </w:p>
    <w:p>
      <w:pPr>
        <w:ind w:firstLine="482"/>
        <w:keepLines w:val="0"/>
        <w:keepNext w:val="0"/>
        <w:pageBreakBefore w:val="0"/>
        <w:spacing w:line="360" w:lineRule="auto"/>
        <w:widowControl w:val="off"/>
        <w:rPr>
          <w:rFonts w:ascii="宋体" w:hAnsi="宋体"/>
          <w:color w:val="000000"/>
          <w:sz w:val="24"/>
          <w:szCs w:val="24"/>
        </w:rPr>
      </w:pPr>
      <w:r>
        <w:rPr>
          <w:rFonts w:hint="eastAsia" w:ascii="Times New Roman" w:hAnsi="Times New Roman"/>
          <w:sz w:val="24"/>
          <w:szCs w:val="24"/>
        </w:rPr>
        <w:t xml:space="preserve">评委会将对确定为实质性响应招标文件要求的投标文件进行评价和比较，本项目采用</w:t>
      </w:r>
      <w:r>
        <w:rPr>
          <w:rFonts w:hint="eastAsia" w:ascii="Times New Roman" w:hAnsi="Times New Roman"/>
          <w:b/>
          <w:sz w:val="24"/>
          <w:szCs w:val="24"/>
          <w:u w:val="single"/>
        </w:rPr>
        <w:t xml:space="preserve">综合评分法</w:t>
      </w:r>
      <w:r>
        <w:rPr>
          <w:rFonts w:hint="eastAsia" w:ascii="Times New Roman" w:hAnsi="Times New Roman"/>
          <w:sz w:val="24"/>
          <w:szCs w:val="24"/>
        </w:rPr>
        <w:t xml:space="preserve">确定中标候选人。评标委员会将按下列评分具体办法和标准进行打分（小数点保留</w:t>
      </w:r>
      <w:r>
        <w:rPr>
          <w:rFonts w:ascii="Times New Roman" w:hAnsi="Times New Roman"/>
          <w:sz w:val="24"/>
          <w:szCs w:val="24"/>
        </w:rPr>
        <w:t xml:space="preserve">2</w:t>
      </w:r>
      <w:r>
        <w:rPr>
          <w:rFonts w:hint="eastAsia" w:ascii="Times New Roman" w:hAnsi="Times New Roman"/>
          <w:sz w:val="24"/>
          <w:szCs w:val="24"/>
        </w:rPr>
        <w:t xml:space="preserve">位），总分值为</w:t>
      </w:r>
      <w:r>
        <w:rPr>
          <w:rFonts w:ascii="Times New Roman" w:hAnsi="Times New Roman"/>
          <w:sz w:val="24"/>
          <w:szCs w:val="24"/>
        </w:rPr>
        <w:t xml:space="preserve">100</w:t>
      </w:r>
      <w:r>
        <w:rPr>
          <w:rFonts w:hint="eastAsia" w:ascii="Times New Roman" w:hAnsi="Times New Roman"/>
          <w:sz w:val="24"/>
          <w:szCs w:val="24"/>
        </w:rPr>
        <w:t xml:space="preserve">分</w:t>
      </w:r>
      <w:r/>
    </w:p>
    <w:p>
      <w:pPr>
        <w:ind w:firstLine="482"/>
        <w:jc w:val="center"/>
        <w:spacing w:line="360" w:lineRule="auto"/>
        <w:rPr>
          <w:rFonts w:hint="eastAsia" w:ascii="Times New Roman" w:hAnsi="Times New Roman"/>
          <w:b/>
          <w:color w:val="000000"/>
          <w:sz w:val="24"/>
          <w:szCs w:val="24"/>
        </w:rPr>
      </w:pPr>
      <w:r>
        <w:rPr>
          <w:rFonts w:hint="eastAsia" w:ascii="Times New Roman" w:hAnsi="Times New Roman"/>
          <w:b/>
          <w:color w:val="000000"/>
          <w:sz w:val="24"/>
          <w:szCs w:val="24"/>
        </w:rPr>
        <w:t xml:space="preserve">评分标准与实施细则</w:t>
      </w:r>
      <w:r/>
    </w:p>
    <w:tbl>
      <w:tblPr>
        <w:tblStyle w:val="71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1203"/>
        <w:gridCol w:w="7050"/>
        <w:gridCol w:w="687"/>
      </w:tblGrid>
      <w:tr>
        <w:trPr>
          <w:jc w:val="center"/>
          <w:trHeight w:val="390"/>
          <w:tblHeader/>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评分因素</w:t>
            </w:r>
            <w:r/>
          </w:p>
        </w:tc>
        <w:tc>
          <w:tcPr>
            <w:tcBorders>
              <w:top w:val="single" w:color="auto" w:sz="4" w:space="0"/>
              <w:left w:val="single" w:color="auto" w:sz="4" w:space="0"/>
              <w:bottom w:val="single" w:color="auto" w:sz="4" w:space="0"/>
              <w:right w:val="single" w:color="auto" w:sz="4" w:space="0"/>
            </w:tcBorders>
            <w:tcW w:w="6354" w:type="dxa"/>
            <w:vAlign w:val="center"/>
            <w:textDirection w:val="lrTb"/>
            <w:noWrap w:val="false"/>
          </w:tcPr>
          <w:p>
            <w:pPr>
              <w:ind w:firstLine="3360"/>
              <w:rPr>
                <w:rFonts w:ascii="宋体" w:hAnsi="宋体" w:cs="宋体"/>
                <w:color w:val="auto"/>
                <w:sz w:val="24"/>
              </w:rPr>
            </w:pPr>
            <w:r>
              <w:rPr>
                <w:rFonts w:hint="eastAsia" w:ascii="宋体" w:hAnsi="宋体" w:cs="宋体"/>
                <w:color w:val="auto"/>
                <w:sz w:val="24"/>
              </w:rPr>
              <w:t xml:space="preserve">评审标准</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rPr>
                <w:rFonts w:ascii="宋体" w:hAnsi="宋体" w:cs="宋体"/>
                <w:sz w:val="24"/>
              </w:rPr>
            </w:pPr>
            <w:r>
              <w:rPr>
                <w:rFonts w:hint="eastAsia" w:ascii="宋体" w:hAnsi="宋体" w:cs="宋体"/>
                <w:sz w:val="24"/>
              </w:rPr>
              <w:t xml:space="preserve">分值</w:t>
            </w:r>
            <w:r/>
          </w:p>
        </w:tc>
      </w:tr>
      <w:tr>
        <w:trPr>
          <w:jc w:val="center"/>
          <w:trHeight w:val="1006"/>
          <w:tblHeader/>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投标报价</w:t>
            </w:r>
            <w:r/>
          </w:p>
          <w:p>
            <w:pPr>
              <w:jc w:val="center"/>
              <w:rPr>
                <w:rFonts w:ascii="宋体" w:hAnsi="宋体" w:cs="宋体"/>
                <w:color w:val="auto"/>
                <w:sz w:val="24"/>
              </w:rPr>
            </w:pPr>
            <w:r>
              <w:rPr>
                <w:rFonts w:hint="eastAsia" w:ascii="宋体" w:hAnsi="宋体" w:cs="宋体"/>
                <w:color w:val="auto"/>
                <w:sz w:val="24"/>
              </w:rPr>
              <w:t xml:space="preserve">（10分）</w:t>
            </w:r>
            <w:r/>
          </w:p>
        </w:tc>
        <w:tc>
          <w:tcPr>
            <w:tcBorders>
              <w:top w:val="single" w:color="auto" w:sz="4" w:space="0"/>
              <w:left w:val="single" w:color="auto" w:sz="4" w:space="0"/>
              <w:bottom w:val="single" w:color="auto" w:sz="4" w:space="0"/>
              <w:right w:val="single" w:color="auto" w:sz="4" w:space="0"/>
            </w:tcBorders>
            <w:tcW w:w="6354"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采用低价优先法计算，即满足招标文件要求且投标价格低的投标报价（费率）为评标基准价（费率），其价格分为满分。其他投标人的价格分按照下列公式计算（小数点保留两位）：投标报价得分=(磋商基准价（费率）／最终磋商报价（费率）)×10</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1196"/>
          <w:tblHeader/>
        </w:trPr>
        <w:tc>
          <w:tcPr>
            <w:tcBorders>
              <w:top w:val="single" w:color="auto" w:sz="4" w:space="0"/>
              <w:left w:val="single" w:color="auto" w:sz="4" w:space="0"/>
              <w:right w:val="single" w:color="auto" w:sz="4" w:space="0"/>
            </w:tcBorders>
            <w:tcW w:w="456"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tcBorders>
              <w:top w:val="single" w:color="auto" w:sz="4" w:space="0"/>
              <w:left w:val="single" w:color="auto" w:sz="4" w:space="0"/>
              <w:right w:val="single" w:color="auto" w:sz="4" w:space="0"/>
            </w:tcBorders>
            <w:tcW w:w="108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技术方案（45分）</w:t>
            </w:r>
            <w:r/>
          </w:p>
        </w:tc>
        <w:tc>
          <w:tcPr>
            <w:tcBorders>
              <w:top w:val="single" w:color="auto" w:sz="4" w:space="0"/>
              <w:left w:val="single" w:color="auto" w:sz="4" w:space="0"/>
              <w:bottom w:val="single" w:color="auto" w:sz="4" w:space="0"/>
              <w:right w:val="single" w:color="auto" w:sz="4" w:space="0"/>
            </w:tcBorders>
            <w:tcW w:w="6354"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项目的理解与认识</w:t>
            </w:r>
            <w:r>
              <w:rPr>
                <w:rFonts w:hint="eastAsia" w:ascii="宋体" w:hAnsi="宋体" w:cs="宋体"/>
                <w:color w:val="auto"/>
                <w:sz w:val="24"/>
              </w:rPr>
              <w:br/>
            </w:r>
            <w:r>
              <w:rPr>
                <w:rFonts w:hint="eastAsia" w:ascii="宋体" w:hAnsi="宋体" w:cs="宋体"/>
                <w:color w:val="auto"/>
                <w:sz w:val="24"/>
              </w:rPr>
              <w:t xml:space="preserve">评委根据供应商针对本项目理解的准确性及透彻性等方面</w:t>
            </w:r>
            <w:r>
              <w:rPr>
                <w:rFonts w:hint="eastAsia" w:ascii="宋体" w:hAnsi="宋体" w:cs="宋体"/>
                <w:color w:val="auto"/>
                <w:sz w:val="24"/>
                <w:lang w:eastAsia="zh-CN"/>
              </w:rPr>
              <w:t xml:space="preserve">进行</w:t>
            </w:r>
            <w:r>
              <w:rPr>
                <w:rFonts w:hint="eastAsia" w:ascii="宋体" w:hAnsi="宋体" w:cs="宋体"/>
                <w:color w:val="auto"/>
                <w:sz w:val="24"/>
              </w:rPr>
              <w:t xml:space="preserve">评分：</w:t>
            </w:r>
            <w:r>
              <w:rPr>
                <w:rFonts w:hint="eastAsia" w:ascii="宋体" w:hAnsi="宋体" w:cs="宋体"/>
                <w:color w:val="auto"/>
                <w:sz w:val="24"/>
                <w:lang w:eastAsia="zh-CN"/>
              </w:rPr>
              <w:t xml:space="preserve">优于采购需求的得</w:t>
            </w:r>
            <w:r>
              <w:rPr>
                <w:rFonts w:hint="eastAsia" w:ascii="宋体" w:hAnsi="宋体" w:cs="宋体"/>
                <w:color w:val="auto"/>
                <w:sz w:val="24"/>
                <w:lang w:val="en-US" w:eastAsia="zh-CN"/>
              </w:rPr>
              <w:t xml:space="preserve">10分，满足采购需求的得6分，</w:t>
            </w:r>
            <w:r>
              <w:rPr>
                <w:rFonts w:hint="eastAsia" w:ascii="宋体" w:hAnsi="宋体" w:cs="宋体"/>
                <w:color w:val="auto"/>
                <w:sz w:val="24"/>
              </w:rPr>
              <w:t xml:space="preserve">未</w:t>
            </w:r>
            <w:r>
              <w:rPr>
                <w:rFonts w:hint="eastAsia" w:ascii="宋体" w:hAnsi="宋体" w:cs="宋体"/>
                <w:color w:val="auto"/>
                <w:sz w:val="24"/>
                <w:lang w:eastAsia="zh-CN"/>
              </w:rPr>
              <w:t xml:space="preserve">提供</w:t>
            </w:r>
            <w:r>
              <w:rPr>
                <w:rFonts w:hint="eastAsia" w:ascii="宋体" w:hAnsi="宋体" w:cs="宋体"/>
                <w:color w:val="auto"/>
                <w:sz w:val="24"/>
              </w:rPr>
              <w:t xml:space="preserve">或不</w:t>
            </w:r>
            <w:r>
              <w:rPr>
                <w:rFonts w:hint="eastAsia" w:ascii="宋体" w:hAnsi="宋体" w:cs="宋体"/>
                <w:color w:val="auto"/>
                <w:sz w:val="24"/>
                <w:lang w:eastAsia="zh-CN"/>
              </w:rPr>
              <w:t xml:space="preserve">满足采购需求</w:t>
            </w:r>
            <w:r>
              <w:rPr>
                <w:rFonts w:hint="eastAsia" w:ascii="宋体" w:hAnsi="宋体" w:cs="宋体"/>
                <w:color w:val="auto"/>
                <w:sz w:val="24"/>
              </w:rPr>
              <w:t xml:space="preserve">的不得分。</w:t>
            </w:r>
            <w:r/>
          </w:p>
        </w:tc>
        <w:tc>
          <w:tcPr>
            <w:tcBorders>
              <w:top w:val="single" w:color="auto" w:sz="4" w:space="0"/>
              <w:left w:val="single" w:color="auto" w:sz="4" w:space="0"/>
              <w:right w:val="single" w:color="auto" w:sz="4" w:space="0"/>
            </w:tcBorders>
            <w:tcW w:w="61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45</w:t>
            </w:r>
            <w:r/>
          </w:p>
        </w:tc>
      </w:tr>
      <w:tr>
        <w:trPr>
          <w:jc w:val="center"/>
          <w:trHeight w:val="1229"/>
          <w:tblHeader/>
        </w:trPr>
        <w:tc>
          <w:tcPr>
            <w:tcBorders>
              <w:left w:val="single" w:color="auto" w:sz="4" w:space="0"/>
              <w:right w:val="single" w:color="auto" w:sz="4" w:space="0"/>
            </w:tcBorders>
            <w:tcW w:w="45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left w:val="single" w:color="auto" w:sz="4" w:space="0"/>
              <w:right w:val="single" w:color="auto" w:sz="4" w:space="0"/>
            </w:tcBorders>
            <w:tcW w:w="108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6354"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总体工作方案的编制</w:t>
            </w:r>
            <w:r>
              <w:rPr>
                <w:rFonts w:hint="eastAsia" w:ascii="宋体" w:hAnsi="宋体" w:cs="宋体"/>
                <w:color w:val="auto"/>
                <w:sz w:val="24"/>
              </w:rPr>
              <w:br/>
            </w:r>
            <w:r>
              <w:rPr>
                <w:rFonts w:hint="eastAsia" w:ascii="宋体" w:hAnsi="宋体" w:cs="宋体"/>
                <w:color w:val="auto"/>
                <w:sz w:val="24"/>
              </w:rPr>
              <w:t xml:space="preserve">评委根据供应商针对本项目编制的总体工作方案的基本情况、计划安排、工作内容等</w:t>
            </w:r>
            <w:r>
              <w:rPr>
                <w:rFonts w:hint="eastAsia" w:ascii="宋体" w:hAnsi="宋体" w:cs="宋体"/>
                <w:color w:val="auto"/>
                <w:sz w:val="24"/>
                <w:lang w:eastAsia="zh-CN"/>
              </w:rPr>
              <w:t xml:space="preserve">进行</w:t>
            </w:r>
            <w:r>
              <w:rPr>
                <w:rFonts w:hint="eastAsia" w:ascii="宋体" w:hAnsi="宋体" w:cs="宋体"/>
                <w:color w:val="auto"/>
                <w:sz w:val="24"/>
              </w:rPr>
              <w:t xml:space="preserve">评分：</w:t>
            </w:r>
            <w:r>
              <w:rPr>
                <w:rFonts w:hint="eastAsia" w:ascii="宋体" w:hAnsi="宋体" w:cs="宋体"/>
                <w:color w:val="auto"/>
                <w:sz w:val="24"/>
                <w:lang w:eastAsia="zh-CN"/>
              </w:rPr>
              <w:t xml:space="preserve">优于采购需求的得</w:t>
            </w:r>
            <w:r>
              <w:rPr>
                <w:rFonts w:hint="eastAsia" w:ascii="宋体" w:hAnsi="宋体" w:cs="宋体"/>
                <w:color w:val="auto"/>
                <w:sz w:val="24"/>
                <w:lang w:val="en-US" w:eastAsia="zh-CN"/>
              </w:rPr>
              <w:t xml:space="preserve">15分，满足采购需求的得10分，</w:t>
            </w:r>
            <w:r>
              <w:rPr>
                <w:rFonts w:hint="eastAsia" w:ascii="宋体" w:hAnsi="宋体" w:cs="宋体"/>
                <w:color w:val="auto"/>
                <w:sz w:val="24"/>
              </w:rPr>
              <w:t xml:space="preserve">未</w:t>
            </w:r>
            <w:r>
              <w:rPr>
                <w:rFonts w:hint="eastAsia" w:ascii="宋体" w:hAnsi="宋体" w:cs="宋体"/>
                <w:color w:val="auto"/>
                <w:sz w:val="24"/>
                <w:lang w:eastAsia="zh-CN"/>
              </w:rPr>
              <w:t xml:space="preserve">提供</w:t>
            </w:r>
            <w:r>
              <w:rPr>
                <w:rFonts w:hint="eastAsia" w:ascii="宋体" w:hAnsi="宋体" w:cs="宋体"/>
                <w:color w:val="auto"/>
                <w:sz w:val="24"/>
              </w:rPr>
              <w:t xml:space="preserve">或不</w:t>
            </w:r>
            <w:r>
              <w:rPr>
                <w:rFonts w:hint="eastAsia" w:ascii="宋体" w:hAnsi="宋体" w:cs="宋体"/>
                <w:color w:val="auto"/>
                <w:sz w:val="24"/>
                <w:lang w:eastAsia="zh-CN"/>
              </w:rPr>
              <w:t xml:space="preserve">满足采购需求</w:t>
            </w:r>
            <w:r>
              <w:rPr>
                <w:rFonts w:hint="eastAsia" w:ascii="宋体" w:hAnsi="宋体" w:cs="宋体"/>
                <w:color w:val="auto"/>
                <w:sz w:val="24"/>
              </w:rPr>
              <w:t xml:space="preserve">的不得分。</w:t>
            </w:r>
            <w:r/>
          </w:p>
        </w:tc>
        <w:tc>
          <w:tcPr>
            <w:tcBorders>
              <w:left w:val="single" w:color="auto" w:sz="4" w:space="0"/>
              <w:right w:val="single" w:color="auto" w:sz="4" w:space="0"/>
            </w:tcBorders>
            <w:tcW w:w="61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1196"/>
          <w:tblHeader/>
        </w:trPr>
        <w:tc>
          <w:tcPr>
            <w:tcBorders>
              <w:left w:val="single" w:color="auto" w:sz="4" w:space="0"/>
              <w:right w:val="single" w:color="auto" w:sz="4" w:space="0"/>
            </w:tcBorders>
            <w:tcW w:w="45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left w:val="single" w:color="auto" w:sz="4" w:space="0"/>
              <w:right w:val="single" w:color="auto" w:sz="4" w:space="0"/>
            </w:tcBorders>
            <w:tcW w:w="108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6354"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进度计划安排</w:t>
            </w:r>
            <w:r/>
          </w:p>
          <w:p>
            <w:pPr>
              <w:rPr>
                <w:rFonts w:ascii="宋体" w:hAnsi="宋体" w:cs="宋体"/>
                <w:color w:val="auto"/>
                <w:sz w:val="24"/>
              </w:rPr>
            </w:pPr>
            <w:r>
              <w:rPr>
                <w:rFonts w:hint="eastAsia" w:ascii="宋体" w:hAnsi="宋体" w:cs="宋体"/>
                <w:color w:val="auto"/>
                <w:sz w:val="24"/>
              </w:rPr>
              <w:t xml:space="preserve">评委根据供应商针对本项目编制的进度计划安排、工作内容和各阶段进度的保障措施等进行评分：</w:t>
            </w:r>
            <w:r>
              <w:rPr>
                <w:rFonts w:hint="eastAsia" w:ascii="宋体" w:hAnsi="宋体" w:cs="宋体"/>
                <w:color w:val="auto"/>
                <w:sz w:val="24"/>
                <w:lang w:eastAsia="zh-CN"/>
              </w:rPr>
              <w:t xml:space="preserve">优于采购需求的得</w:t>
            </w:r>
            <w:r>
              <w:rPr>
                <w:rFonts w:hint="eastAsia" w:ascii="宋体" w:hAnsi="宋体" w:cs="宋体"/>
                <w:color w:val="auto"/>
                <w:sz w:val="24"/>
                <w:lang w:val="en-US" w:eastAsia="zh-CN"/>
              </w:rPr>
              <w:t xml:space="preserve">10分，满足采购需求的得6分，</w:t>
            </w:r>
            <w:r>
              <w:rPr>
                <w:rFonts w:hint="eastAsia" w:ascii="宋体" w:hAnsi="宋体" w:cs="宋体"/>
                <w:color w:val="auto"/>
                <w:sz w:val="24"/>
              </w:rPr>
              <w:t xml:space="preserve">未</w:t>
            </w:r>
            <w:r>
              <w:rPr>
                <w:rFonts w:hint="eastAsia" w:ascii="宋体" w:hAnsi="宋体" w:cs="宋体"/>
                <w:color w:val="auto"/>
                <w:sz w:val="24"/>
                <w:lang w:eastAsia="zh-CN"/>
              </w:rPr>
              <w:t xml:space="preserve">提供</w:t>
            </w:r>
            <w:r>
              <w:rPr>
                <w:rFonts w:hint="eastAsia" w:ascii="宋体" w:hAnsi="宋体" w:cs="宋体"/>
                <w:color w:val="auto"/>
                <w:sz w:val="24"/>
              </w:rPr>
              <w:t xml:space="preserve">或不</w:t>
            </w:r>
            <w:r>
              <w:rPr>
                <w:rFonts w:hint="eastAsia" w:ascii="宋体" w:hAnsi="宋体" w:cs="宋体"/>
                <w:color w:val="auto"/>
                <w:sz w:val="24"/>
                <w:lang w:eastAsia="zh-CN"/>
              </w:rPr>
              <w:t xml:space="preserve">满足采购需求</w:t>
            </w:r>
            <w:r>
              <w:rPr>
                <w:rFonts w:hint="eastAsia" w:ascii="宋体" w:hAnsi="宋体" w:cs="宋体"/>
                <w:color w:val="auto"/>
                <w:sz w:val="24"/>
              </w:rPr>
              <w:t xml:space="preserve">的不得分。</w:t>
            </w:r>
            <w:r/>
          </w:p>
        </w:tc>
        <w:tc>
          <w:tcPr>
            <w:tcBorders>
              <w:left w:val="single" w:color="auto" w:sz="4" w:space="0"/>
              <w:right w:val="single" w:color="auto" w:sz="4" w:space="0"/>
            </w:tcBorders>
            <w:tcW w:w="61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914"/>
          <w:tblHeader/>
        </w:trPr>
        <w:tc>
          <w:tcPr>
            <w:tcBorders>
              <w:left w:val="single" w:color="auto" w:sz="4" w:space="0"/>
              <w:right w:val="single" w:color="auto" w:sz="4" w:space="0"/>
            </w:tcBorders>
            <w:tcW w:w="45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left w:val="single" w:color="auto" w:sz="4" w:space="0"/>
              <w:right w:val="single" w:color="auto" w:sz="4" w:space="0"/>
            </w:tcBorders>
            <w:tcW w:w="108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6354"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服务承诺及合理化</w:t>
            </w:r>
            <w:r/>
          </w:p>
          <w:p>
            <w:pPr>
              <w:rPr>
                <w:rFonts w:hint="eastAsia" w:ascii="宋体" w:hAnsi="宋体" w:eastAsia="宋体" w:cs="宋体"/>
                <w:color w:val="auto"/>
                <w:sz w:val="24"/>
                <w:lang w:eastAsia="zh-CN"/>
              </w:rPr>
            </w:pPr>
            <w:r>
              <w:rPr>
                <w:rFonts w:hint="eastAsia" w:ascii="宋体" w:hAnsi="宋体" w:cs="宋体"/>
                <w:color w:val="auto"/>
                <w:sz w:val="24"/>
              </w:rPr>
              <w:t xml:space="preserve">评委对供应商的服务承诺及合理化建议进行评分</w:t>
            </w:r>
            <w:r>
              <w:rPr>
                <w:rFonts w:hint="eastAsia" w:ascii="宋体" w:hAnsi="宋体" w:cs="宋体"/>
                <w:color w:val="auto"/>
                <w:sz w:val="24"/>
                <w:lang w:eastAsia="zh-CN"/>
              </w:rPr>
              <w:t xml:space="preserve">，优于采购需求的得</w:t>
            </w:r>
            <w:r>
              <w:rPr>
                <w:rFonts w:hint="eastAsia" w:ascii="宋体" w:hAnsi="宋体" w:cs="宋体"/>
                <w:color w:val="auto"/>
                <w:sz w:val="24"/>
                <w:lang w:val="en-US" w:eastAsia="zh-CN"/>
              </w:rPr>
              <w:t xml:space="preserve">10分，满足采购需求的得6分，</w:t>
            </w:r>
            <w:r>
              <w:rPr>
                <w:rFonts w:hint="eastAsia" w:ascii="宋体" w:hAnsi="宋体" w:cs="宋体"/>
                <w:color w:val="auto"/>
                <w:sz w:val="24"/>
              </w:rPr>
              <w:t xml:space="preserve">未</w:t>
            </w:r>
            <w:r>
              <w:rPr>
                <w:rFonts w:hint="eastAsia" w:ascii="宋体" w:hAnsi="宋体" w:cs="宋体"/>
                <w:color w:val="auto"/>
                <w:sz w:val="24"/>
                <w:lang w:eastAsia="zh-CN"/>
              </w:rPr>
              <w:t xml:space="preserve">提供</w:t>
            </w:r>
            <w:r>
              <w:rPr>
                <w:rFonts w:hint="eastAsia" w:ascii="宋体" w:hAnsi="宋体" w:cs="宋体"/>
                <w:color w:val="auto"/>
                <w:sz w:val="24"/>
              </w:rPr>
              <w:t xml:space="preserve">或不</w:t>
            </w:r>
            <w:r>
              <w:rPr>
                <w:rFonts w:hint="eastAsia" w:ascii="宋体" w:hAnsi="宋体" w:cs="宋体"/>
                <w:color w:val="auto"/>
                <w:sz w:val="24"/>
                <w:lang w:eastAsia="zh-CN"/>
              </w:rPr>
              <w:t xml:space="preserve">满足采购需求</w:t>
            </w:r>
            <w:r>
              <w:rPr>
                <w:rFonts w:hint="eastAsia" w:ascii="宋体" w:hAnsi="宋体" w:cs="宋体"/>
                <w:color w:val="auto"/>
                <w:sz w:val="24"/>
              </w:rPr>
              <w:t xml:space="preserve">的不得分。</w:t>
            </w:r>
            <w:r>
              <w:rPr>
                <w:rFonts w:hint="eastAsia" w:ascii="宋体" w:hAnsi="宋体" w:cs="宋体"/>
                <w:color w:val="auto"/>
                <w:sz w:val="24"/>
                <w:lang w:eastAsia="zh-CN"/>
              </w:rPr>
              <w:t xml:space="preserve">、</w:t>
            </w:r>
            <w:r/>
          </w:p>
        </w:tc>
        <w:tc>
          <w:tcPr>
            <w:tcBorders>
              <w:left w:val="single" w:color="auto" w:sz="4" w:space="0"/>
              <w:right w:val="single" w:color="auto" w:sz="4" w:space="0"/>
            </w:tcBorders>
            <w:tcW w:w="61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90"/>
          <w:tblHeader/>
        </w:trPr>
        <w:tc>
          <w:tcPr>
            <w:tcBorders>
              <w:top w:val="single" w:color="auto" w:sz="4" w:space="0"/>
              <w:left w:val="single" w:color="auto" w:sz="4" w:space="0"/>
              <w:bottom w:val="single" w:color="auto" w:sz="4" w:space="0"/>
              <w:right w:val="single" w:color="auto" w:sz="4" w:space="0"/>
            </w:tcBorders>
            <w:tcW w:w="456"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tcBorders>
              <w:top w:val="single" w:color="auto" w:sz="4" w:space="0"/>
              <w:left w:val="single" w:color="auto" w:sz="4" w:space="0"/>
              <w:bottom w:val="single" w:color="auto" w:sz="4" w:space="0"/>
              <w:right w:val="single" w:color="auto" w:sz="4" w:space="0"/>
            </w:tcBorders>
            <w:tcW w:w="108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人员得分（26分）</w:t>
            </w:r>
            <w:r/>
          </w:p>
        </w:tc>
        <w:tc>
          <w:tcPr>
            <w:tcBorders>
              <w:top w:val="single" w:color="auto" w:sz="4" w:space="0"/>
              <w:left w:val="single" w:color="auto" w:sz="4" w:space="0"/>
              <w:bottom w:val="single" w:color="auto" w:sz="4" w:space="0"/>
              <w:right w:val="single" w:color="auto" w:sz="4" w:space="0"/>
            </w:tcBorders>
            <w:tcW w:w="6354"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项目负责人：</w:t>
            </w:r>
            <w:r/>
          </w:p>
          <w:p>
            <w:pPr>
              <w:rPr>
                <w:rFonts w:ascii="宋体" w:hAnsi="宋体" w:cs="宋体"/>
                <w:color w:val="auto"/>
                <w:sz w:val="24"/>
              </w:rPr>
            </w:pPr>
            <w:r>
              <w:rPr>
                <w:rFonts w:hint="eastAsia" w:ascii="宋体" w:hAnsi="宋体" w:cs="宋体"/>
                <w:color w:val="auto"/>
                <w:sz w:val="24"/>
              </w:rPr>
              <w:t xml:space="preserve">①具有水利工程专业高级工程师的得3分，具有水利工程专业中级工程师的得1分；本项最高得3分。</w:t>
            </w:r>
            <w:r/>
          </w:p>
          <w:p>
            <w:pPr>
              <w:pStyle w:val="725"/>
              <w:ind w:left="0" w:right="69" w:firstLine="0"/>
              <w:rPr>
                <w:rFonts w:eastAsia="宋体"/>
                <w:color w:val="auto"/>
              </w:rPr>
            </w:pPr>
            <w:r>
              <w:rPr>
                <w:rFonts w:hint="eastAsia" w:ascii="宋体" w:hAnsi="宋体" w:eastAsia="宋体" w:cs="宋体"/>
                <w:color w:val="auto"/>
                <w:sz w:val="24"/>
                <w:szCs w:val="24"/>
              </w:rPr>
              <w:t xml:space="preserve">②具</w:t>
            </w:r>
            <w:r>
              <w:rPr>
                <w:rFonts w:hint="eastAsia" w:ascii="宋体" w:hAnsi="宋体" w:eastAsia="宋体" w:cs="宋体"/>
                <w:color w:val="auto"/>
                <w:sz w:val="24"/>
                <w:szCs w:val="24"/>
                <w:lang w:eastAsia="zh-CN"/>
              </w:rPr>
              <w:t xml:space="preserve">有</w:t>
            </w:r>
            <w:r>
              <w:rPr>
                <w:rFonts w:hint="eastAsia" w:ascii="宋体" w:hAnsi="宋体" w:eastAsia="宋体" w:cs="宋体"/>
                <w:color w:val="auto"/>
                <w:sz w:val="24"/>
                <w:szCs w:val="24"/>
              </w:rPr>
              <w:t xml:space="preserve">县域水资源管理规范化建设类相关业绩的得3分，没有不得分。</w:t>
            </w:r>
            <w:r/>
          </w:p>
          <w:p>
            <w:pPr>
              <w:rPr>
                <w:rFonts w:ascii="宋体" w:hAnsi="宋体" w:cs="宋体"/>
                <w:color w:val="auto"/>
                <w:sz w:val="24"/>
              </w:rPr>
            </w:pPr>
            <w:r>
              <w:rPr>
                <w:rFonts w:hint="eastAsia" w:ascii="宋体" w:hAnsi="宋体" w:cs="宋体"/>
                <w:color w:val="auto"/>
                <w:sz w:val="24"/>
              </w:rPr>
              <w:t xml:space="preserve">注：本项满分6分，须提供①职称证书</w:t>
            </w:r>
            <w:r>
              <w:rPr>
                <w:rFonts w:hint="eastAsia" w:ascii="宋体" w:hAnsi="宋体" w:cs="宋体"/>
                <w:color w:val="auto"/>
                <w:sz w:val="24"/>
                <w:lang w:eastAsia="zh-CN"/>
              </w:rPr>
              <w:t xml:space="preserve">扫描件</w:t>
            </w:r>
            <w:r>
              <w:rPr>
                <w:rFonts w:hint="eastAsia" w:ascii="宋体" w:hAnsi="宋体" w:cs="宋体"/>
                <w:color w:val="auto"/>
                <w:sz w:val="24"/>
              </w:rPr>
              <w:t xml:space="preserve">②社保机构出具的连续6个月及以上（2024年12月以来）投标申请人为其缴纳的养老保险缴费证明材料，未提供上述材料不得分。 </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r>
      <w:tr>
        <w:trPr>
          <w:jc w:val="center"/>
          <w:trHeight w:val="645"/>
          <w:tblHeader/>
        </w:trPr>
        <w:tc>
          <w:tcPr>
            <w:tcBorders>
              <w:top w:val="single" w:color="auto" w:sz="4" w:space="0"/>
              <w:left w:val="single" w:color="auto" w:sz="4" w:space="0"/>
              <w:bottom w:val="single" w:color="auto" w:sz="4" w:space="0"/>
              <w:right w:val="single" w:color="auto" w:sz="4" w:space="0"/>
            </w:tcBorders>
            <w:tcW w:w="456" w:type="dxa"/>
            <w:vAlign w:val="center"/>
            <w:vMerge w:val="continue"/>
            <w:textDirection w:val="lrTb"/>
            <w:noWrap w:val="false"/>
          </w:tcPr>
          <w:p>
            <w:pPr>
              <w:widowControl/>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084" w:type="dxa"/>
            <w:vAlign w:val="center"/>
            <w:vMerge w:val="continue"/>
            <w:textDirection w:val="lrTb"/>
            <w:noWrap w:val="false"/>
          </w:tcPr>
          <w:p>
            <w:pPr>
              <w:widowControl/>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6354" w:type="dxa"/>
            <w:textDirection w:val="lrTb"/>
            <w:noWrap w:val="false"/>
          </w:tcPr>
          <w:p>
            <w:pPr>
              <w:rPr>
                <w:rFonts w:ascii="宋体" w:hAnsi="宋体" w:cs="宋体"/>
                <w:color w:val="auto"/>
                <w:sz w:val="24"/>
              </w:rPr>
            </w:pPr>
            <w:r>
              <w:rPr>
                <w:rFonts w:hint="eastAsia" w:ascii="宋体" w:hAnsi="宋体" w:cs="宋体"/>
                <w:color w:val="auto"/>
                <w:sz w:val="24"/>
              </w:rPr>
              <w:t xml:space="preserve">专业人员配备（不含项目负责人）</w:t>
            </w:r>
            <w:r/>
          </w:p>
          <w:p>
            <w:pPr>
              <w:rPr>
                <w:rFonts w:ascii="宋体" w:hAnsi="宋体" w:cs="宋体"/>
                <w:color w:val="auto"/>
                <w:sz w:val="24"/>
              </w:rPr>
            </w:pPr>
            <w:r>
              <w:rPr>
                <w:rFonts w:hint="eastAsia" w:ascii="宋体" w:hAnsi="宋体" w:cs="宋体"/>
                <w:color w:val="auto"/>
                <w:sz w:val="24"/>
              </w:rPr>
              <w:t xml:space="preserve">1、具有水利工程专业高级工程师职称的，每有一位得1分，最多得8分；（提供职称证书扫描件）</w:t>
            </w:r>
            <w:r/>
          </w:p>
          <w:p>
            <w:pPr>
              <w:rPr>
                <w:rFonts w:ascii="宋体" w:hAnsi="宋体" w:cs="宋体"/>
                <w:color w:val="auto"/>
                <w:sz w:val="24"/>
              </w:rPr>
            </w:pPr>
            <w:r>
              <w:rPr>
                <w:rFonts w:hint="eastAsia" w:ascii="宋体" w:hAnsi="宋体" w:cs="宋体"/>
                <w:color w:val="auto"/>
                <w:sz w:val="24"/>
              </w:rPr>
              <w:t xml:space="preserve">2、项目组成员具有水文水资源相关专业的，每有一位得1分，最多得7分；（提供毕业证书扫描件）</w:t>
            </w:r>
            <w:r/>
          </w:p>
          <w:p>
            <w:pPr>
              <w:rPr>
                <w:rFonts w:ascii="宋体" w:hAnsi="宋体" w:cs="宋体"/>
                <w:color w:val="auto"/>
                <w:sz w:val="24"/>
              </w:rPr>
            </w:pPr>
            <w:r>
              <w:rPr>
                <w:rFonts w:hint="eastAsia" w:ascii="宋体" w:hAnsi="宋体" w:cs="宋体"/>
                <w:color w:val="auto"/>
                <w:sz w:val="24"/>
              </w:rPr>
              <w:t xml:space="preserve">3、</w:t>
            </w:r>
            <w:r>
              <w:rPr>
                <w:rFonts w:hint="eastAsia"/>
                <w:color w:val="auto"/>
                <w:sz w:val="24"/>
              </w:rPr>
              <w:t xml:space="preserve">具有注册土木工程师（水利水电工程）注册证书的，每有一位得1分，最多得5分。</w:t>
            </w:r>
            <w:r/>
          </w:p>
          <w:p>
            <w:pPr>
              <w:rPr>
                <w:rFonts w:ascii="宋体" w:hAnsi="宋体" w:cs="宋体"/>
                <w:color w:val="auto"/>
                <w:sz w:val="24"/>
              </w:rPr>
            </w:pPr>
            <w:r>
              <w:rPr>
                <w:rFonts w:hint="eastAsia" w:ascii="宋体" w:hAnsi="宋体" w:cs="宋体"/>
                <w:color w:val="auto"/>
                <w:sz w:val="24"/>
              </w:rPr>
              <w:t xml:space="preserve">注：本项满分20分，须提供①证书复印件加盖公章③社保机构出具的连续6个月及以上（2024年12月以来）投标申请人为其缴纳的养老保险缴费证明材料，未提供上述材料不得分。</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rPr>
                <w:rFonts w:ascii="宋体" w:hAnsi="宋体" w:cs="宋体"/>
                <w:sz w:val="24"/>
              </w:rPr>
            </w:pPr>
            <w:r>
              <w:rPr>
                <w:rFonts w:hint="eastAsia" w:ascii="宋体" w:hAnsi="宋体" w:cs="宋体"/>
                <w:sz w:val="24"/>
              </w:rPr>
              <w:t xml:space="preserve">20</w:t>
            </w:r>
            <w:r/>
          </w:p>
        </w:tc>
      </w:tr>
      <w:tr>
        <w:trPr>
          <w:jc w:val="center"/>
          <w:trHeight w:val="645"/>
          <w:tblHeader/>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widowControl/>
              <w:rPr>
                <w:rFonts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widowControl/>
              <w:rPr>
                <w:rFonts w:ascii="宋体" w:hAnsi="宋体" w:cs="宋体"/>
                <w:color w:val="auto"/>
                <w:sz w:val="24"/>
              </w:rPr>
            </w:pPr>
            <w:r>
              <w:rPr>
                <w:rFonts w:hint="eastAsia" w:ascii="宋体" w:hAnsi="宋体" w:cs="宋体"/>
                <w:color w:val="auto"/>
                <w:sz w:val="24"/>
              </w:rPr>
              <w:t xml:space="preserve">企业资信（5分）</w:t>
            </w:r>
            <w:r/>
          </w:p>
        </w:tc>
        <w:tc>
          <w:tcPr>
            <w:tcBorders>
              <w:top w:val="single" w:color="auto" w:sz="4" w:space="0"/>
              <w:left w:val="single" w:color="auto" w:sz="4" w:space="0"/>
              <w:bottom w:val="single" w:color="auto" w:sz="4" w:space="0"/>
              <w:right w:val="single" w:color="auto" w:sz="4" w:space="0"/>
            </w:tcBorders>
            <w:tcW w:w="6354" w:type="dxa"/>
            <w:textDirection w:val="lrTb"/>
            <w:noWrap w:val="false"/>
          </w:tcPr>
          <w:p>
            <w:pPr>
              <w:rPr>
                <w:rFonts w:ascii="宋体" w:hAnsi="宋体" w:cs="宋体"/>
                <w:color w:val="auto"/>
                <w:sz w:val="24"/>
              </w:rPr>
            </w:pPr>
            <w:r>
              <w:rPr>
                <w:rFonts w:hint="eastAsia"/>
                <w:color w:val="auto"/>
                <w:sz w:val="24"/>
              </w:rPr>
              <w:t xml:space="preserve">供应商具有在有效期内的质量管理体系认证证书、职业健康安全管理体系认证证书、环境管理体系认证证书、信息安全管理体系认证证书、知识产权管理体系认证证书的，每提供一项加1分，最高得5分。</w:t>
            </w:r>
            <w:r>
              <w:rPr>
                <w:rFonts w:hint="eastAsia" w:ascii="宋体" w:hAnsi="宋体" w:cs="宋体"/>
                <w:color w:val="auto"/>
                <w:sz w:val="24"/>
              </w:rPr>
              <w:t xml:space="preserve">（提供证书</w:t>
            </w:r>
            <w:r>
              <w:rPr>
                <w:rFonts w:hint="eastAsia" w:ascii="宋体" w:hAnsi="宋体" w:cs="宋体"/>
                <w:color w:val="auto"/>
                <w:sz w:val="24"/>
                <w:lang w:eastAsia="zh-CN"/>
              </w:rPr>
              <w:t xml:space="preserve">扫描件</w:t>
            </w:r>
            <w:r>
              <w:rPr>
                <w:rFonts w:hint="eastAsia" w:ascii="宋体" w:hAnsi="宋体" w:cs="宋体"/>
                <w:color w:val="auto"/>
                <w:sz w:val="24"/>
              </w:rPr>
              <w:t xml:space="preserve">及国家市场监督管理总局全国认证认可信息公共服务平台（http://cx.cnca.cn/CertECloud/index/index/page）信息截图并加盖公章）</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r>
      <w:tr>
        <w:trPr>
          <w:jc w:val="center"/>
          <w:trHeight w:val="36"/>
          <w:tblHeader/>
        </w:trPr>
        <w:tc>
          <w:tcPr>
            <w:tcBorders>
              <w:left w:val="single" w:color="auto" w:sz="4" w:space="0"/>
              <w:right w:val="single" w:color="auto" w:sz="4" w:space="0"/>
            </w:tcBorders>
            <w:tcW w:w="456" w:type="dxa"/>
            <w:vAlign w:val="center"/>
            <w:textDirection w:val="lrTb"/>
            <w:noWrap w:val="false"/>
          </w:tcPr>
          <w:p>
            <w:pPr>
              <w:widowControl/>
              <w:rPr>
                <w:rFonts w:ascii="宋体" w:hAnsi="宋体" w:cs="宋体"/>
                <w:color w:val="auto"/>
                <w:sz w:val="24"/>
              </w:rPr>
            </w:pPr>
            <w:r>
              <w:rPr>
                <w:rFonts w:hint="eastAsia" w:ascii="宋体" w:hAnsi="宋体" w:cs="宋体"/>
                <w:color w:val="auto"/>
                <w:sz w:val="24"/>
              </w:rPr>
              <w:t xml:space="preserve">5</w:t>
            </w:r>
            <w:r/>
          </w:p>
        </w:tc>
        <w:tc>
          <w:tcPr>
            <w:tcBorders>
              <w:left w:val="single" w:color="auto" w:sz="4" w:space="0"/>
              <w:right w:val="single" w:color="auto" w:sz="4" w:space="0"/>
            </w:tcBorders>
            <w:tcW w:w="108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企业业绩（14分）</w:t>
            </w:r>
            <w:r/>
          </w:p>
        </w:tc>
        <w:tc>
          <w:tcPr>
            <w:tcBorders>
              <w:top w:val="single" w:color="auto" w:sz="4" w:space="0"/>
              <w:left w:val="single" w:color="auto" w:sz="4" w:space="0"/>
              <w:bottom w:val="single" w:color="auto" w:sz="4" w:space="0"/>
              <w:right w:val="single" w:color="auto" w:sz="4" w:space="0"/>
            </w:tcBorders>
            <w:tcW w:w="6354"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根据投标单位自2020年1月1日以来（以合同签订时间为准）承担过县域水资源规范化建设类似业绩，每提供一个得2分，最高分8分；水资源管理相关业绩每提供一类得2分，最高分6分。</w:t>
            </w:r>
            <w:r>
              <w:rPr>
                <w:rFonts w:hint="eastAsia"/>
                <w:color w:val="auto"/>
                <w:sz w:val="24"/>
              </w:rPr>
              <w:t xml:space="preserve">最高得14分</w:t>
            </w:r>
            <w:r>
              <w:rPr>
                <w:rFonts w:hint="eastAsia" w:ascii="宋体" w:hAnsi="宋体" w:cs="宋体"/>
                <w:color w:val="auto"/>
                <w:sz w:val="24"/>
              </w:rPr>
              <w:t xml:space="preserve">（</w:t>
            </w:r>
            <w:r>
              <w:rPr>
                <w:rFonts w:hint="eastAsia" w:ascii="宋体" w:hAnsi="宋体" w:cs="宋体"/>
                <w:color w:val="auto"/>
                <w:sz w:val="24"/>
                <w:lang w:eastAsia="zh-CN"/>
              </w:rPr>
              <w:t xml:space="preserve">须</w:t>
            </w:r>
            <w:r>
              <w:rPr>
                <w:rFonts w:hint="eastAsia" w:ascii="宋体" w:hAnsi="宋体" w:cs="宋体"/>
                <w:color w:val="auto"/>
                <w:sz w:val="24"/>
              </w:rPr>
              <w:t xml:space="preserve">提供业绩合同的扫描件并加盖公章，否则不得分）。</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rPr>
                <w:rFonts w:ascii="宋体" w:hAnsi="宋体" w:cs="宋体"/>
                <w:sz w:val="24"/>
              </w:rPr>
            </w:pPr>
            <w:r>
              <w:rPr>
                <w:rFonts w:hint="eastAsia" w:ascii="宋体" w:hAnsi="宋体" w:cs="宋体"/>
                <w:sz w:val="24"/>
              </w:rPr>
              <w:t xml:space="preserve">14</w:t>
            </w:r>
            <w:r/>
          </w:p>
        </w:tc>
      </w:tr>
      <w:tr>
        <w:trPr>
          <w:jc w:val="center"/>
          <w:trHeight w:val="298"/>
          <w:tblHeader/>
        </w:trPr>
        <w:tc>
          <w:tcPr>
            <w:gridSpan w:val="2"/>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widowControl/>
              <w:rPr>
                <w:rFonts w:ascii="宋体" w:hAnsi="宋体" w:cs="宋体"/>
                <w:sz w:val="24"/>
              </w:rPr>
            </w:pPr>
            <w:r>
              <w:rPr>
                <w:rFonts w:hint="eastAsia" w:ascii="宋体" w:hAnsi="宋体" w:cs="宋体"/>
                <w:sz w:val="24"/>
              </w:rPr>
              <w:t xml:space="preserve">合计</w:t>
            </w:r>
            <w:r/>
          </w:p>
        </w:tc>
        <w:tc>
          <w:tcPr>
            <w:tcBorders>
              <w:top w:val="single" w:color="auto" w:sz="4" w:space="0"/>
              <w:left w:val="single" w:color="auto" w:sz="4" w:space="0"/>
              <w:bottom w:val="single" w:color="auto" w:sz="4" w:space="0"/>
              <w:right w:val="single" w:color="auto" w:sz="4" w:space="0"/>
            </w:tcBorders>
            <w:tcW w:w="6354" w:type="dxa"/>
            <w:vAlign w:val="center"/>
            <w:textDirection w:val="lrTb"/>
            <w:noWrap w:val="false"/>
          </w:tcPr>
          <w:p>
            <w:pPr>
              <w:ind w:firstLine="480"/>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rPr>
                <w:rFonts w:ascii="宋体" w:hAnsi="宋体" w:cs="宋体"/>
                <w:sz w:val="24"/>
              </w:rPr>
            </w:pPr>
            <w:r>
              <w:rPr>
                <w:rFonts w:hint="eastAsia" w:ascii="宋体" w:hAnsi="宋体" w:cs="宋体"/>
                <w:sz w:val="24"/>
              </w:rPr>
              <w:t xml:space="preserve">100</w:t>
            </w:r>
            <w:r/>
          </w:p>
        </w:tc>
      </w:tr>
    </w:tbl>
    <w:p>
      <w:pPr>
        <w:ind w:firstLine="480"/>
        <w:spacing w:line="0" w:lineRule="atLeast"/>
        <w:rPr>
          <w:rFonts w:ascii="宋体" w:hAnsi="宋体"/>
          <w:color w:val="000000"/>
          <w:sz w:val="24"/>
          <w:szCs w:val="24"/>
        </w:rPr>
      </w:pPr>
      <w:r>
        <w:rPr>
          <w:rFonts w:hint="eastAsia" w:ascii="宋体" w:hAnsi="宋体"/>
          <w:color w:val="000000"/>
          <w:sz w:val="24"/>
          <w:szCs w:val="24"/>
        </w:rPr>
        <w:t xml:space="preserve">备注：</w:t>
      </w:r>
      <w:r/>
    </w:p>
    <w:p>
      <w:pPr>
        <w:ind w:firstLine="480"/>
        <w:spacing w:line="0" w:lineRule="atLeast"/>
        <w:rPr>
          <w:rFonts w:ascii="宋体" w:hAnsi="宋体"/>
          <w:color w:val="000000"/>
          <w:sz w:val="24"/>
          <w:szCs w:val="24"/>
        </w:rPr>
      </w:pPr>
      <w:r>
        <w:rPr>
          <w:rFonts w:hint="eastAsia" w:ascii="宋体" w:hAnsi="宋体"/>
          <w:color w:val="000000"/>
          <w:sz w:val="24"/>
          <w:szCs w:val="24"/>
        </w:rPr>
        <w:t xml:space="preserve">1.投标单位必须保证全部投标资料的真实性，如有虚假或对招标文件所要求说明的情况故意隐瞒或虚报，视为不实质性响应招标文件，为无效投标。已中标的将取消中标资格，并按《中华人民共和国政府采购法》等法律法规处理。</w:t>
      </w:r>
      <w:r/>
    </w:p>
    <w:p>
      <w:pPr>
        <w:ind w:firstLine="480"/>
        <w:spacing w:line="0" w:lineRule="atLeast"/>
        <w:rPr>
          <w:rFonts w:ascii="宋体" w:hAnsi="宋体"/>
          <w:b/>
          <w:bCs/>
          <w:color w:val="000000"/>
          <w:sz w:val="24"/>
          <w:szCs w:val="24"/>
        </w:rPr>
      </w:pPr>
      <w:r>
        <w:rPr>
          <w:rFonts w:hint="eastAsia" w:ascii="宋体" w:hAnsi="宋体"/>
          <w:b/>
          <w:bCs/>
          <w:color w:val="000000"/>
          <w:sz w:val="24"/>
          <w:szCs w:val="24"/>
        </w:rPr>
        <w:t xml:space="preserve">2.所属行业：其他未列明行业</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pStyle w:val="746"/>
        <w:rPr>
          <w:rFonts w:ascii="Times New Roman"/>
          <w:color w:val="000000"/>
          <w:szCs w:val="21"/>
        </w:rPr>
      </w:pPr>
      <w:r>
        <w:rPr>
          <w:rFonts w:ascii="Times New Roman"/>
          <w:color w:val="000000"/>
          <w:szCs w:val="21"/>
        </w:rPr>
      </w:r>
      <w:r/>
    </w:p>
    <w:p>
      <w:pPr>
        <w:pStyle w:val="746"/>
        <w:rPr>
          <w:rFonts w:ascii="Times New Roman"/>
          <w:color w:val="000000"/>
          <w:szCs w:val="21"/>
        </w:rPr>
      </w:pPr>
      <w:r>
        <w:rPr>
          <w:rFonts w:ascii="Times New Roman"/>
          <w:color w:val="000000"/>
          <w:szCs w:val="21"/>
        </w:rPr>
      </w:r>
      <w:r/>
    </w:p>
    <w:p>
      <w:pP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w:t>
      </w:r>
      <w:bookmarkEnd w:id="182"/>
      <w:r/>
      <w:bookmarkEnd w:id="183"/>
      <w:r/>
      <w:bookmarkEnd w:id="184"/>
      <w:r>
        <w:rPr>
          <w:rFonts w:hint="eastAsia" w:ascii="黑体" w:hAnsi="Times New Roman" w:eastAsia="黑体"/>
          <w:bCs/>
          <w:color w:val="000000"/>
          <w:sz w:val="44"/>
          <w:szCs w:val="28"/>
        </w:rPr>
        <w:t xml:space="preserve">响应文件格式 </w:t>
      </w:r>
      <w:r/>
    </w:p>
    <w:p>
      <w:pPr>
        <w:jc w:val="center"/>
        <w:rPr>
          <w:rFonts w:ascii="宋体" w:hAnsi="宋体"/>
          <w:b/>
          <w:color w:val="000000"/>
          <w:sz w:val="72"/>
          <w:szCs w:val="21"/>
        </w:rPr>
      </w:pPr>
      <w:r/>
      <w:bookmarkStart w:id="185" w:name="_Hlt26955039"/>
      <w:r/>
      <w:bookmarkEnd w:id="185"/>
      <w:r/>
      <w:bookmarkStart w:id="186" w:name="_Hlt26671244"/>
      <w:r/>
      <w:bookmarkEnd w:id="186"/>
      <w:r/>
      <w:bookmarkStart w:id="187" w:name="_Toc120614282"/>
      <w:r/>
      <w:bookmarkStart w:id="188" w:name="_Toc26554094"/>
      <w:r/>
      <w:bookmarkStart w:id="189" w:name="_Toc49090576"/>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响应文件的组成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p>
    <w:p>
      <w:pPr>
        <w:ind w:left="480"/>
        <w:spacing w:line="4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分项报价表（格式见</w:t>
      </w:r>
      <w:r>
        <w:rPr>
          <w:rFonts w:ascii="宋体" w:hAnsi="宋体"/>
          <w:color w:val="000000"/>
          <w:sz w:val="24"/>
          <w:szCs w:val="21"/>
        </w:rPr>
        <w:t xml:space="preserve">附件1</w:t>
      </w:r>
      <w:r>
        <w:rPr>
          <w:rFonts w:hint="eastAsia" w:ascii="宋体" w:hAnsi="宋体"/>
          <w:color w:val="000000"/>
          <w:sz w:val="24"/>
          <w:szCs w:val="21"/>
        </w:rPr>
        <w:t xml:space="preserve">）</w:t>
      </w:r>
      <w:r/>
    </w:p>
    <w:p>
      <w:pPr>
        <w:ind w:left="480"/>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附件2</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商务要求响应及偏离表（格式见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r/>
    </w:p>
    <w:p>
      <w:pPr>
        <w:ind w:left="480"/>
        <w:spacing w:line="400" w:lineRule="exact"/>
        <w:rPr>
          <w:rFonts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p>
    <w:p>
      <w:pPr>
        <w:ind w:left="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ind w:left="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上一年度的财务状况报告（供应商成立不满一年无需提供）</w:t>
      </w:r>
      <w:r/>
    </w:p>
    <w:p>
      <w:pPr>
        <w:ind w:left="480"/>
        <w:spacing w:line="400" w:lineRule="exact"/>
        <w:rPr>
          <w:rFonts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依法缴纳税收和社会保障资金的相关材料（提供提交响应文件截止时间前一年</w:t>
      </w:r>
      <w:r/>
    </w:p>
    <w:p>
      <w:pPr>
        <w:spacing w:line="400" w:lineRule="exact"/>
        <w:rPr>
          <w:rFonts w:ascii="宋体" w:hAnsi="宋体"/>
          <w:color w:val="000000"/>
          <w:sz w:val="24"/>
          <w:szCs w:val="21"/>
        </w:rPr>
      </w:pPr>
      <w:r>
        <w:rPr>
          <w:rFonts w:hint="eastAsia" w:ascii="宋体" w:hAnsi="宋体"/>
          <w:color w:val="000000"/>
          <w:sz w:val="24"/>
          <w:szCs w:val="21"/>
        </w:rPr>
        <w:t xml:space="preserve">内至少一个月依法缴纳税收及缴纳社会保障资金的证明材料。供应商依法享受缓缴、免缴税收、社会保障资金的提供证明材料。）</w:t>
      </w:r>
      <w:r/>
    </w:p>
    <w:p>
      <w:pPr>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附件4</w:t>
      </w:r>
      <w:r>
        <w:rPr>
          <w:rFonts w:hint="eastAsia" w:ascii="宋体" w:hAnsi="宋体"/>
          <w:color w:val="000000"/>
          <w:sz w:val="24"/>
          <w:szCs w:val="21"/>
        </w:rPr>
        <w:t xml:space="preserve">）</w:t>
      </w:r>
      <w:r/>
    </w:p>
    <w:p>
      <w:pPr>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年内在经营活动中没有重大违法记录的书面声明（格式</w:t>
      </w:r>
      <w:r/>
    </w:p>
    <w:p>
      <w:pPr>
        <w:spacing w:line="400" w:lineRule="exact"/>
        <w:rPr>
          <w:rFonts w:ascii="宋体" w:hAnsi="宋体"/>
          <w:color w:val="000000"/>
          <w:sz w:val="24"/>
          <w:szCs w:val="21"/>
        </w:rPr>
      </w:pPr>
      <w:r>
        <w:rPr>
          <w:rFonts w:hint="eastAsia" w:ascii="宋体" w:hAnsi="宋体"/>
          <w:color w:val="000000"/>
          <w:sz w:val="24"/>
          <w:szCs w:val="21"/>
        </w:rPr>
        <w:t xml:space="preserve">见</w:t>
      </w:r>
      <w:r>
        <w:rPr>
          <w:rFonts w:ascii="宋体" w:hAnsi="宋体"/>
          <w:color w:val="000000"/>
          <w:sz w:val="24"/>
          <w:szCs w:val="21"/>
        </w:rPr>
        <w:t xml:space="preserve">附件5</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特定资格要求的证明文件（如果本项目对供应商</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7</w:t>
      </w:r>
      <w:r>
        <w:rPr>
          <w:rFonts w:ascii="宋体" w:hAnsi="宋体"/>
          <w:color w:val="000000"/>
          <w:sz w:val="24"/>
          <w:szCs w:val="21"/>
        </w:rPr>
        <w:t xml:space="preserve">.</w:t>
      </w:r>
      <w:r>
        <w:rPr>
          <w:rFonts w:hint="eastAsia" w:ascii="宋体" w:hAnsi="宋体"/>
          <w:color w:val="000000"/>
          <w:sz w:val="24"/>
          <w:szCs w:val="21"/>
        </w:rPr>
        <w:t xml:space="preserve">法人授权书（格式见附件</w:t>
      </w:r>
      <w:r>
        <w:rPr>
          <w:rFonts w:ascii="宋体" w:hAnsi="宋体"/>
          <w:color w:val="000000"/>
          <w:sz w:val="24"/>
          <w:szCs w:val="21"/>
        </w:rPr>
        <w:t xml:space="preserve">6</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8</w:t>
      </w:r>
      <w:r>
        <w:rPr>
          <w:rFonts w:ascii="宋体" w:hAnsi="宋体"/>
          <w:color w:val="000000"/>
          <w:sz w:val="24"/>
          <w:szCs w:val="21"/>
        </w:rPr>
        <w:t xml:space="preserve">.</w:t>
      </w:r>
      <w:r>
        <w:rPr>
          <w:rFonts w:hint="eastAsia" w:ascii="宋体" w:hAnsi="宋体"/>
          <w:color w:val="000000"/>
          <w:sz w:val="24"/>
          <w:szCs w:val="21"/>
        </w:rPr>
        <w:t xml:space="preserve">响应函（格式见附件</w:t>
      </w:r>
      <w:r>
        <w:rPr>
          <w:rFonts w:ascii="宋体" w:hAnsi="宋体"/>
          <w:color w:val="000000"/>
          <w:sz w:val="24"/>
          <w:szCs w:val="21"/>
        </w:rPr>
        <w:t xml:space="preserve">7</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9</w:t>
      </w:r>
      <w:r>
        <w:rPr>
          <w:rFonts w:ascii="宋体" w:hAnsi="宋体"/>
          <w:color w:val="000000"/>
          <w:sz w:val="24"/>
          <w:szCs w:val="21"/>
        </w:rPr>
        <w:t xml:space="preserve">.</w:t>
      </w:r>
      <w:r>
        <w:rPr>
          <w:rFonts w:hint="eastAsia" w:ascii="宋体" w:hAnsi="宋体"/>
          <w:color w:val="000000"/>
          <w:sz w:val="24"/>
          <w:szCs w:val="21"/>
        </w:rPr>
        <w:t xml:space="preserve">中小微企业声明函（如果本项目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附件8</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0.</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总备注：上述“资格审查内容”中1-5条、7、8条供应商必须在响应文件中提供</w:t>
      </w:r>
      <w:r/>
    </w:p>
    <w:p>
      <w:pPr>
        <w:spacing w:line="400" w:lineRule="exact"/>
        <w:rPr>
          <w:rFonts w:ascii="宋体" w:hAnsi="宋体"/>
          <w:color w:val="000000"/>
          <w:sz w:val="24"/>
          <w:szCs w:val="24"/>
        </w:rPr>
      </w:pPr>
      <w:r>
        <w:rPr>
          <w:rFonts w:hint="eastAsia" w:ascii="宋体" w:hAnsi="宋体"/>
          <w:color w:val="000000"/>
          <w:sz w:val="24"/>
          <w:szCs w:val="24"/>
        </w:rPr>
        <w:t xml:space="preserve">相关材料，否则作无效响应处理；6、9、10条如磋商文件要求必须提供相关材料而未提供的，作无效响应处理。</w:t>
      </w:r>
      <w:r/>
    </w:p>
    <w:p>
      <w:pPr>
        <w:ind w:left="480"/>
        <w:spacing w:line="400" w:lineRule="exact"/>
        <w:rPr>
          <w:rFonts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供应商必须</w:t>
      </w:r>
      <w:r>
        <w:rPr>
          <w:rFonts w:ascii="宋体" w:hAnsi="宋体"/>
          <w:color w:val="000000"/>
          <w:sz w:val="24"/>
          <w:szCs w:val="21"/>
        </w:rPr>
        <w:t xml:space="preserve">对</w:t>
      </w:r>
      <w:r>
        <w:rPr>
          <w:rFonts w:hint="eastAsia" w:ascii="宋体" w:hAnsi="宋体"/>
          <w:color w:val="000000"/>
          <w:sz w:val="24"/>
          <w:szCs w:val="21"/>
        </w:rPr>
        <w:t xml:space="preserve">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中加斜体下划线的实质性要求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w:t>
      </w:r>
      <w:r>
        <w:rPr>
          <w:rFonts w:hint="eastAsia" w:ascii="宋体" w:hAnsi="宋体"/>
          <w:color w:val="000000"/>
          <w:sz w:val="24"/>
          <w:szCs w:val="21"/>
        </w:rPr>
        <w:t xml:space="preserve">磋商文件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，否则做无效响应处理。（格式见</w:t>
      </w:r>
      <w:r>
        <w:rPr>
          <w:rFonts w:ascii="宋体" w:hAnsi="宋体"/>
          <w:color w:val="000000"/>
          <w:sz w:val="24"/>
          <w:szCs w:val="21"/>
        </w:rPr>
        <w:t xml:space="preserve">附件1</w:t>
      </w:r>
      <w:r>
        <w:rPr>
          <w:rFonts w:hint="eastAsia" w:ascii="宋体" w:hAnsi="宋体"/>
          <w:color w:val="000000"/>
          <w:sz w:val="24"/>
          <w:szCs w:val="21"/>
        </w:rPr>
        <w:t xml:space="preserve">0）</w:t>
      </w:r>
      <w:r/>
    </w:p>
    <w:p>
      <w:pPr>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p>
    <w:p>
      <w:pPr>
        <w:ind w:firstLine="480"/>
        <w:spacing w:line="4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附件8</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ind w:left="480"/>
        <w:rPr>
          <w:rFonts w:ascii="宋体" w:hAnsi="宋体"/>
          <w:b/>
          <w:color w:val="000000"/>
          <w:sz w:val="24"/>
          <w:szCs w:val="21"/>
        </w:rPr>
      </w:pPr>
      <w:r>
        <w:rPr>
          <w:rFonts w:ascii="宋体" w:hAnsi="宋体"/>
          <w:b/>
          <w:color w:val="000000"/>
          <w:sz w:val="24"/>
          <w:szCs w:val="21"/>
        </w:rPr>
      </w:r>
      <w:r/>
    </w:p>
    <w:p>
      <w:pPr>
        <w:pStyle w:val="746"/>
        <w:jc w:val="both"/>
        <w:rPr>
          <w:rFonts w:ascii="宋体" w:hAnsi="宋体" w:eastAsiaTheme="minorEastAsia"/>
          <w:b/>
          <w:color w:val="000000"/>
          <w:sz w:val="24"/>
          <w:szCs w:val="21"/>
        </w:rPr>
      </w:pPr>
      <w:r>
        <w:rPr>
          <w:rFonts w:ascii="宋体" w:hAnsi="宋体" w:eastAsiaTheme="minorEastAsia"/>
          <w:b/>
          <w:color w:val="000000"/>
          <w:sz w:val="24"/>
          <w:szCs w:val="21"/>
        </w:rPr>
      </w:r>
      <w:r/>
    </w:p>
    <w:p>
      <w:pPr>
        <w:pStyle w:val="746"/>
        <w:rPr>
          <w:rFonts w:ascii="宋体" w:hAnsi="宋体"/>
          <w:b/>
          <w:color w:val="000000"/>
          <w:sz w:val="24"/>
          <w:szCs w:val="21"/>
        </w:rPr>
      </w:pPr>
      <w:r>
        <w:rPr>
          <w:rFonts w:ascii="宋体" w:hAnsi="宋体"/>
          <w:b/>
          <w:color w:val="000000"/>
          <w:sz w:val="24"/>
          <w:szCs w:val="21"/>
        </w:rPr>
      </w:r>
      <w:r/>
    </w:p>
    <w:p>
      <w:pPr>
        <w:ind w:left="480"/>
        <w:jc w:val="center"/>
        <w:rPr>
          <w:rFonts w:ascii="宋体" w:hAnsi="宋体"/>
          <w:b/>
          <w:color w:val="000000"/>
          <w:sz w:val="24"/>
          <w:szCs w:val="21"/>
        </w:rPr>
      </w:pPr>
      <w:r>
        <w:rPr>
          <w:rFonts w:hint="eastAsia" w:ascii="宋体" w:hAnsi="宋体"/>
          <w:b/>
          <w:color w:val="000000"/>
          <w:sz w:val="24"/>
          <w:szCs w:val="21"/>
        </w:rPr>
        <w:t xml:space="preserve">附件1 分项报价表（服务类项目）</w:t>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27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69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59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81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37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135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7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分项服务名称</w:t>
            </w:r>
            <w:r/>
          </w:p>
        </w:tc>
        <w:tc>
          <w:tcPr>
            <w:tcW w:w="169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分项单位</w:t>
            </w:r>
            <w:r/>
          </w:p>
        </w:tc>
        <w:tc>
          <w:tcPr>
            <w:tcW w:w="159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81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tcW w:w="135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27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69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96" w:type="dxa"/>
            <w:vAlign w:val="center"/>
            <w:textDirection w:val="lrTb"/>
            <w:noWrap w:val="false"/>
          </w:tcPr>
          <w:p>
            <w:pPr>
              <w:jc w:val="center"/>
              <w:spacing w:line="0" w:lineRule="atLeast"/>
              <w:rPr>
                <w:rFonts w:ascii="宋体" w:hAnsi="宋体"/>
                <w:color w:val="000000"/>
                <w:sz w:val="18"/>
                <w:szCs w:val="18"/>
              </w:rPr>
            </w:pPr>
            <w:r>
              <w:rPr>
                <w:rFonts w:hint="eastAsia" w:ascii="宋体" w:hAnsi="宋体"/>
                <w:color w:val="000000"/>
                <w:sz w:val="18"/>
                <w:szCs w:val="18"/>
              </w:rPr>
              <w:t xml:space="preserve">合同签</w:t>
            </w:r>
            <w:r/>
          </w:p>
          <w:p>
            <w:pPr>
              <w:jc w:val="center"/>
              <w:spacing w:line="0" w:lineRule="atLeast"/>
              <w:rPr>
                <w:rFonts w:ascii="宋体" w:hAnsi="宋体"/>
                <w:color w:val="000000"/>
                <w:sz w:val="24"/>
                <w:szCs w:val="24"/>
              </w:rPr>
            </w:pPr>
            <w:r>
              <w:rPr>
                <w:rFonts w:hint="eastAsia" w:ascii="宋体" w:hAnsi="宋体"/>
                <w:color w:val="000000"/>
                <w:sz w:val="18"/>
                <w:szCs w:val="18"/>
              </w:rPr>
              <w:t xml:space="preserve">订后</w:t>
            </w:r>
            <w:r>
              <w:rPr>
                <w:rFonts w:hint="eastAsia" w:ascii="宋体" w:hAnsi="宋体"/>
                <w:color w:val="000000"/>
                <w:sz w:val="18"/>
                <w:szCs w:val="18"/>
                <w:u w:val="single"/>
              </w:rPr>
              <w:t xml:space="preserve">  </w:t>
            </w:r>
            <w:r>
              <w:rPr>
                <w:rFonts w:hint="eastAsia" w:ascii="宋体" w:hAnsi="宋体"/>
                <w:color w:val="000000"/>
                <w:sz w:val="18"/>
                <w:szCs w:val="18"/>
              </w:rPr>
              <w:t xml:space="preserve">日</w:t>
            </w:r>
            <w:r/>
          </w:p>
        </w:tc>
        <w:tc>
          <w:tcPr>
            <w:tcW w:w="81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5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27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69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9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5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27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69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9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5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27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69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9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5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487"/>
        </w:trPr>
        <w:tc>
          <w:tcPr>
            <w:gridSpan w:val="6"/>
            <w:tcW w:w="769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总报价（人民币：元）</w:t>
            </w:r>
            <w:r/>
          </w:p>
        </w:tc>
        <w:tc>
          <w:tcPr>
            <w:tcW w:w="1358" w:type="dxa"/>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备注： </w:t>
      </w:r>
      <w:r/>
    </w:p>
    <w:p>
      <w:pPr>
        <w:spacing w:line="0" w:lineRule="atLeas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spacing w:line="400" w:lineRule="exact"/>
        <w:rPr>
          <w:rFonts w:ascii="宋体" w:hAnsi="宋体"/>
          <w:color w:val="000000"/>
          <w:sz w:val="24"/>
          <w:szCs w:val="21"/>
        </w:rPr>
      </w:pPr>
      <w:r>
        <w:rPr>
          <w:rFonts w:ascii="宋体" w:hAnsi="宋体"/>
          <w:color w:val="000000"/>
          <w:sz w:val="24"/>
          <w:szCs w:val="24"/>
        </w:rPr>
        <w:t xml:space="preserve">2.</w:t>
      </w:r>
      <w:r>
        <w:rPr>
          <w:rFonts w:hint="eastAsia" w:ascii="宋体" w:hAnsi="宋体"/>
          <w:color w:val="000000"/>
          <w:sz w:val="24"/>
          <w:szCs w:val="21"/>
        </w:rPr>
        <w:t xml:space="preserve">项目</w:t>
      </w:r>
      <w:r>
        <w:rPr>
          <w:rFonts w:ascii="宋体" w:hAnsi="宋体"/>
          <w:color w:val="000000"/>
          <w:sz w:val="24"/>
          <w:szCs w:val="21"/>
        </w:rPr>
        <w:t xml:space="preserve">经办人可以根据</w:t>
      </w:r>
      <w:r>
        <w:rPr>
          <w:rFonts w:hint="eastAsia" w:ascii="宋体" w:hAnsi="宋体"/>
          <w:color w:val="000000"/>
          <w:sz w:val="24"/>
          <w:szCs w:val="21"/>
        </w:rPr>
        <w:t xml:space="preserve">项目</w:t>
      </w:r>
      <w:r>
        <w:rPr>
          <w:rFonts w:ascii="宋体" w:hAnsi="宋体"/>
          <w:color w:val="000000"/>
          <w:sz w:val="24"/>
          <w:szCs w:val="21"/>
        </w:rPr>
        <w:t xml:space="preserve">实际需要</w:t>
      </w:r>
      <w:r>
        <w:rPr>
          <w:rFonts w:hint="eastAsia" w:ascii="宋体" w:hAnsi="宋体"/>
          <w:color w:val="000000"/>
          <w:sz w:val="24"/>
          <w:szCs w:val="21"/>
        </w:rPr>
        <w:t xml:space="preserve">对</w:t>
      </w:r>
      <w:r>
        <w:rPr>
          <w:rFonts w:ascii="宋体" w:hAnsi="宋体"/>
          <w:color w:val="000000"/>
          <w:sz w:val="24"/>
          <w:szCs w:val="21"/>
        </w:rPr>
        <w:t xml:space="preserve">表格结构进行</w:t>
      </w:r>
      <w:r>
        <w:rPr>
          <w:rFonts w:hint="eastAsia" w:ascii="宋体" w:hAnsi="宋体"/>
          <w:color w:val="000000"/>
          <w:sz w:val="24"/>
          <w:szCs w:val="21"/>
        </w:rPr>
        <w:t xml:space="preserve">调整</w:t>
      </w:r>
      <w:r>
        <w:rPr>
          <w:rFonts w:ascii="宋体" w:hAnsi="宋体"/>
          <w:color w:val="000000"/>
          <w:sz w:val="24"/>
          <w:szCs w:val="21"/>
        </w:rPr>
        <w:t xml:space="preserve">。</w:t>
      </w:r>
      <w:r/>
    </w:p>
    <w:p>
      <w:pPr>
        <w:spacing w:line="0" w:lineRule="atLeas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ascii="宋体" w:hAnsi="宋体"/>
          <w:color w:val="000000"/>
          <w:sz w:val="24"/>
          <w:szCs w:val="24"/>
        </w:rPr>
      </w:r>
      <w:r/>
    </w:p>
    <w:p>
      <w:pPr>
        <w:pStyle w:val="746"/>
        <w:rPr>
          <w:rFonts w:eastAsiaTheme="minorEastAsia"/>
        </w:rPr>
      </w:pPr>
      <w:r>
        <w:rPr>
          <w:rFonts w:eastAsiaTheme="minorEastAsia"/>
        </w:rPr>
      </w:r>
      <w:r/>
    </w:p>
    <w:p>
      <w:pPr>
        <w:pStyle w:val="746"/>
        <w:rPr>
          <w:rFonts w:eastAsiaTheme="minorEastAsia"/>
        </w:rPr>
      </w:pPr>
      <w:r>
        <w:rPr>
          <w:rFonts w:eastAsiaTheme="minorEastAsia"/>
        </w:rPr>
      </w:r>
      <w:r/>
    </w:p>
    <w:p>
      <w:pPr>
        <w:pStyle w:val="746"/>
        <w:rPr>
          <w:rFonts w:eastAsiaTheme="minorEastAsia"/>
        </w:rPr>
      </w:pPr>
      <w:r>
        <w:rPr>
          <w:rFonts w:eastAsiaTheme="minorEastAsia"/>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2 </w:t>
      </w:r>
      <w:r>
        <w:rPr>
          <w:rFonts w:hint="eastAsia" w:ascii="宋体" w:hAnsi="宋体"/>
          <w:b/>
          <w:color w:val="000000"/>
          <w:sz w:val="24"/>
          <w:szCs w:val="24"/>
        </w:rPr>
        <w:t xml:space="preserve">技术要求响应及偏离表</w:t>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2</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实质性内容</w:t>
      </w:r>
      <w:r>
        <w:rPr>
          <w:rFonts w:hint="eastAsia" w:ascii="宋体" w:hAnsi="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2.如果磋商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ind w:left="480"/>
        <w:rPr>
          <w:rFonts w:ascii="宋体" w:hAnsi="宋体"/>
          <w:b/>
          <w:i/>
          <w:color w:val="000000"/>
          <w:sz w:val="24"/>
          <w:szCs w:val="21"/>
          <w:u w:val="single"/>
        </w:rPr>
      </w:pPr>
      <w:r>
        <w:rPr>
          <w:rFonts w:ascii="宋体" w:hAnsi="宋体"/>
          <w:b/>
          <w:i/>
          <w:color w:val="000000"/>
          <w:sz w:val="24"/>
          <w:szCs w:val="21"/>
          <w:u w:val="single"/>
        </w:rPr>
      </w:r>
      <w:r/>
    </w:p>
    <w:p>
      <w:pPr>
        <w:pStyle w:val="746"/>
        <w:rPr>
          <w:rFonts w:ascii="宋体" w:hAnsi="宋体"/>
          <w:b/>
          <w:i/>
          <w:color w:val="000000"/>
          <w:sz w:val="24"/>
          <w:szCs w:val="21"/>
          <w:u w:val="single"/>
        </w:rPr>
      </w:pPr>
      <w:r>
        <w:rPr>
          <w:rFonts w:ascii="宋体" w:hAnsi="宋体"/>
          <w:b/>
          <w:i/>
          <w:color w:val="000000"/>
          <w:sz w:val="24"/>
          <w:szCs w:val="21"/>
          <w:u w:val="single"/>
        </w:rPr>
      </w:r>
      <w:r/>
    </w:p>
    <w:p>
      <w:pPr>
        <w:pStyle w:val="746"/>
        <w:rPr>
          <w:rFonts w:ascii="宋体" w:hAnsi="宋体"/>
          <w:b/>
          <w:i/>
          <w:color w:val="000000"/>
          <w:sz w:val="24"/>
          <w:szCs w:val="21"/>
          <w:u w:val="single"/>
        </w:rPr>
      </w:pPr>
      <w:r>
        <w:rPr>
          <w:rFonts w:ascii="宋体" w:hAnsi="宋体"/>
          <w:b/>
          <w:i/>
          <w:color w:val="000000"/>
          <w:sz w:val="24"/>
          <w:szCs w:val="21"/>
          <w:u w:val="single"/>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商务要求响应及偏离表</w:t>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商务要求</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实质性内容</w:t>
      </w:r>
      <w:r>
        <w:rPr>
          <w:rFonts w:hint="eastAsia" w:ascii="宋体" w:hAnsi="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2.如果磋商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ind w:left="480"/>
        <w:rPr>
          <w:rFonts w:ascii="宋体" w:hAnsi="宋体"/>
          <w:b/>
          <w:i/>
          <w:color w:val="000000"/>
          <w:sz w:val="24"/>
          <w:szCs w:val="21"/>
          <w:u w:val="single"/>
        </w:rPr>
      </w:pPr>
      <w:r>
        <w:rPr>
          <w:rFonts w:ascii="宋体" w:hAnsi="宋体"/>
          <w:b/>
          <w:i/>
          <w:color w:val="000000"/>
          <w:sz w:val="24"/>
          <w:szCs w:val="21"/>
          <w:u w:val="single"/>
        </w:rPr>
      </w:r>
      <w:r/>
    </w:p>
    <w:p>
      <w:pPr>
        <w:spacing w:line="440" w:lineRule="exact"/>
        <w:rPr>
          <w:rFonts w:ascii="宋体" w:hAnsi="宋体"/>
          <w:color w:val="000000"/>
          <w:sz w:val="24"/>
          <w:szCs w:val="21"/>
        </w:rPr>
      </w:pPr>
      <w:r>
        <w:rPr>
          <w:rFonts w:ascii="宋体" w:hAnsi="宋体"/>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jc w:val="center"/>
        <w:spacing w:line="460" w:lineRule="exact"/>
        <w:rPr>
          <w:rFonts w:ascii="宋体" w:hAnsi="宋体"/>
          <w:b/>
          <w:bCs/>
          <w:color w:val="000000"/>
          <w:sz w:val="24"/>
          <w:szCs w:val="21"/>
        </w:rPr>
      </w:pPr>
      <w:r>
        <w:rPr>
          <w:rFonts w:hint="eastAsia" w:ascii="宋体" w:hAnsi="宋体"/>
          <w:b/>
          <w:bCs/>
          <w:color w:val="000000"/>
          <w:sz w:val="24"/>
          <w:szCs w:val="21"/>
        </w:rPr>
        <w:t xml:space="preserve">声  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60" w:lineRule="exact"/>
        <w:rPr>
          <w:rFonts w:ascii="宋体" w:hAnsi="宋体"/>
          <w:bCs/>
          <w:color w:val="000000"/>
          <w:sz w:val="24"/>
          <w:szCs w:val="21"/>
        </w:rPr>
      </w:pPr>
      <w:r>
        <w:rPr>
          <w:rFonts w:ascii="宋体" w:hAnsi="宋体"/>
          <w:bCs/>
          <w:color w:val="000000"/>
          <w:sz w:val="24"/>
          <w:szCs w:val="21"/>
        </w:rPr>
      </w:r>
      <w:bookmarkEnd w:id="187"/>
      <w:r/>
      <w:bookmarkEnd w:id="188"/>
      <w:r/>
      <w:bookmarkEnd w:id="189"/>
      <w:r/>
      <w:r/>
    </w:p>
    <w:p>
      <w:pPr>
        <w:spacing w:line="460" w:lineRule="exact"/>
        <w:rPr>
          <w:rFonts w:ascii="宋体" w:hAnsi="宋体"/>
          <w:bCs/>
          <w:color w:val="000000"/>
          <w:sz w:val="24"/>
          <w:szCs w:val="21"/>
        </w:rPr>
      </w:pPr>
      <w:r/>
      <w:bookmarkStart w:id="190" w:name="_Toc120614284"/>
      <w:r/>
      <w:r/>
    </w:p>
    <w:p>
      <w:pPr>
        <w:jc w:val="center"/>
        <w:rPr>
          <w:rFonts w:ascii="黑体" w:hAnsi="黑体" w:eastAsia="黑体"/>
          <w:i/>
          <w:color w:val="000000"/>
          <w:sz w:val="32"/>
          <w:szCs w:val="32"/>
          <w:u w:val="single"/>
        </w:rPr>
      </w:pPr>
      <w:r>
        <w:rPr>
          <w:rFonts w:ascii="黑体" w:hAnsi="黑体" w:eastAsia="黑体"/>
          <w:i/>
          <w:color w:val="000000"/>
          <w:sz w:val="32"/>
          <w:szCs w:val="32"/>
          <w:u w:val="single"/>
        </w:rPr>
      </w:r>
      <w:r/>
    </w:p>
    <w:p>
      <w:pPr>
        <w:jc w:val="center"/>
        <w:rPr>
          <w:rFonts w:ascii="宋体" w:hAnsi="宋体"/>
          <w:b/>
          <w:color w:val="000000"/>
          <w:sz w:val="24"/>
          <w:szCs w:val="21"/>
        </w:rPr>
      </w:pPr>
      <w:r>
        <w:rPr>
          <w:rFonts w:ascii="宋体" w:hAnsi="宋体"/>
          <w:b/>
          <w:color w:val="000000"/>
          <w:sz w:val="24"/>
          <w:szCs w:val="21"/>
        </w:rPr>
      </w:r>
      <w:r/>
    </w:p>
    <w:p>
      <w:pPr>
        <w:jc w:val="center"/>
        <w:rPr>
          <w:rFonts w:ascii="宋体" w:hAnsi="宋体"/>
          <w:b/>
          <w:color w:val="000000"/>
          <w:sz w:val="24"/>
          <w:szCs w:val="21"/>
        </w:rPr>
      </w:pPr>
      <w:r>
        <w:rPr>
          <w:rFonts w:ascii="宋体" w:hAnsi="宋体"/>
          <w:b/>
          <w:color w:val="000000"/>
          <w:sz w:val="24"/>
          <w:szCs w:val="21"/>
        </w:rPr>
      </w:r>
      <w:r/>
    </w:p>
    <w:p>
      <w:pPr>
        <w:jc w:val="center"/>
        <w:rPr>
          <w:rFonts w:ascii="宋体" w:hAnsi="宋体"/>
          <w:b/>
          <w:color w:val="000000"/>
          <w:sz w:val="24"/>
          <w:szCs w:val="21"/>
        </w:rPr>
      </w:pPr>
      <w:r>
        <w:rPr>
          <w:rFonts w:ascii="宋体" w:hAnsi="宋体"/>
          <w:b/>
          <w:color w:val="000000"/>
          <w:sz w:val="24"/>
          <w:szCs w:val="21"/>
        </w:rPr>
      </w:r>
      <w:r/>
    </w:p>
    <w:p>
      <w:pPr>
        <w:jc w:val="center"/>
        <w:rPr>
          <w:rFonts w:ascii="宋体" w:hAnsi="宋体"/>
          <w:b/>
          <w:color w:val="000000"/>
          <w:sz w:val="24"/>
          <w:szCs w:val="21"/>
        </w:rPr>
      </w:pPr>
      <w:r>
        <w:rPr>
          <w:rFonts w:ascii="宋体" w:hAnsi="宋体"/>
          <w:b/>
          <w:color w:val="000000"/>
          <w:sz w:val="24"/>
          <w:szCs w:val="21"/>
        </w:rPr>
      </w:r>
      <w:r/>
    </w:p>
    <w:p>
      <w:pPr>
        <w:jc w:val="center"/>
        <w:rPr>
          <w:rFonts w:ascii="宋体" w:hAnsi="宋体"/>
          <w:b/>
          <w:color w:val="000000"/>
          <w:sz w:val="24"/>
          <w:szCs w:val="21"/>
        </w:rPr>
      </w:pPr>
      <w:r>
        <w:rPr>
          <w:rFonts w:ascii="宋体" w:hAnsi="宋体"/>
          <w:b/>
          <w:color w:val="000000"/>
          <w:sz w:val="24"/>
          <w:szCs w:val="21"/>
        </w:rPr>
      </w:r>
      <w:r/>
    </w:p>
    <w:p>
      <w:pPr>
        <w:jc w:val="center"/>
        <w:rPr>
          <w:rFonts w:ascii="宋体" w:hAnsi="宋体"/>
          <w:b/>
          <w:color w:val="000000"/>
          <w:sz w:val="24"/>
          <w:szCs w:val="21"/>
        </w:rPr>
      </w:pPr>
      <w:r>
        <w:rPr>
          <w:rFonts w:ascii="宋体" w:hAnsi="宋体"/>
          <w:b/>
          <w:color w:val="000000"/>
          <w:sz w:val="24"/>
          <w:szCs w:val="21"/>
        </w:rPr>
      </w:r>
      <w:r/>
    </w:p>
    <w:p>
      <w:pPr>
        <w:jc w:val="center"/>
        <w:rPr>
          <w:rFonts w:ascii="宋体" w:hAnsi="宋体"/>
          <w:b/>
          <w:color w:val="000000"/>
          <w:sz w:val="24"/>
          <w:szCs w:val="21"/>
        </w:rPr>
      </w:pPr>
      <w:r>
        <w:rPr>
          <w:rFonts w:hint="eastAsia" w:ascii="宋体" w:hAnsi="宋体"/>
          <w:b/>
          <w:color w:val="000000"/>
          <w:sz w:val="24"/>
          <w:szCs w:val="21"/>
        </w:rPr>
        <w:t xml:space="preserve">附件6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0" w:lineRule="atLeas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hint="eastAsia" w:ascii="宋体" w:hAnsi="宋体"/>
          <w:color w:val="000000"/>
          <w:sz w:val="24"/>
          <w:szCs w:val="21"/>
        </w:rPr>
        <w:t xml:space="preserve">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0" w:lineRule="atLeas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0" w:lineRule="atLeas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ind w:firstLine="480"/>
        <w:spacing w:line="0" w:lineRule="atLeas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480"/>
        <w:spacing w:line="0" w:lineRule="atLeas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0" w:lineRule="atLeas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spacing w:line="0" w:lineRule="atLeas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日期：</w:t>
      </w:r>
      <w:bookmarkStart w:id="191" w:name="_格式3__银行出具的资信证明"/>
      <w:r/>
      <w:bookmarkEnd w:id="191"/>
      <w:r/>
      <w:bookmarkStart w:id="192" w:name="_Hlt26671380"/>
      <w:r/>
      <w:bookmarkEnd w:id="192"/>
      <w:r/>
      <w:bookmarkStart w:id="193" w:name="_Hlt26955070"/>
      <w:r/>
      <w:bookmarkEnd w:id="193"/>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rPr>
      </w:pPr>
      <w:r>
        <w:rPr>
          <w:rFonts w:ascii="Times New Roman" w:hAnsi="Times New Roman"/>
          <w:color w:val="000000"/>
          <w:sz w:val="24"/>
          <w:szCs w:val="24"/>
        </w:rPr>
      </w:r>
      <w:r/>
    </w:p>
    <w:p>
      <w:pPr>
        <w:ind w:firstLine="420"/>
        <w:rPr>
          <w:rFonts w:ascii="Times New Roman" w:hAnsi="Times New Roman"/>
          <w:i/>
          <w:color w:val="000000"/>
          <w:sz w:val="24"/>
          <w:szCs w:val="24"/>
          <w:u w:val="single"/>
        </w:rPr>
      </w:pPr>
      <w:r>
        <w:rPr>
          <w:rFonts w:ascii="Times New Roman" w:hAnsi="Times New Roman"/>
          <w:i/>
          <w:color w:val="000000"/>
          <w:sz w:val="24"/>
          <w:szCs w:val="24"/>
          <w:u w:val="single"/>
        </w:rPr>
      </w:r>
      <w:r/>
    </w:p>
    <w:p>
      <w:pPr>
        <w:rPr>
          <w:rFonts w:ascii="Times New Roman" w:hAnsi="Times New Roman"/>
          <w:color w:val="000000"/>
          <w:szCs w:val="21"/>
        </w:rPr>
      </w:pPr>
      <w:r>
        <w:rPr>
          <w:rFonts w:ascii="Times New Roman" w:hAnsi="Times New Roman"/>
          <w:color w:val="000000"/>
          <w:szCs w:val="21"/>
        </w:rPr>
      </w:r>
      <w:r/>
    </w:p>
    <w:p>
      <w:pPr>
        <w:jc w:val="center"/>
        <w:rPr>
          <w:rFonts w:ascii="黑体" w:hAnsi="黑体" w:eastAsia="黑体"/>
          <w:b/>
          <w:i/>
          <w:color w:val="000000"/>
          <w:sz w:val="32"/>
          <w:szCs w:val="32"/>
          <w:u w:val="single"/>
        </w:rPr>
      </w:pPr>
      <w:r>
        <w:rPr>
          <w:rFonts w:hint="eastAsia" w:ascii="宋体" w:hAnsi="宋体"/>
          <w:b/>
          <w:color w:val="000000"/>
          <w:sz w:val="24"/>
          <w:szCs w:val="21"/>
        </w:rPr>
        <w:t xml:space="preserve">附件7 </w:t>
      </w:r>
      <w:r>
        <w:rPr>
          <w:rFonts w:ascii="宋体" w:hAnsi="宋体"/>
          <w:b/>
          <w:color w:val="000000"/>
          <w:sz w:val="24"/>
          <w:szCs w:val="21"/>
        </w:rPr>
        <w:t xml:space="preserve">  </w:t>
      </w:r>
      <w:r>
        <w:rPr>
          <w:rFonts w:hint="eastAsia" w:ascii="宋体" w:hAnsi="宋体"/>
          <w:b/>
          <w:color w:val="000000"/>
          <w:sz w:val="24"/>
          <w:szCs w:val="21"/>
        </w:rPr>
        <w:t xml:space="preserve">磋商响应函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致：泰州信诚招标代理有限公司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w:t>
      </w:r>
      <w:r>
        <w:rPr>
          <w:rFonts w:hint="eastAsia" w:ascii="宋体" w:hAnsi="宋体"/>
          <w:color w:val="000000"/>
          <w:sz w:val="24"/>
          <w:szCs w:val="21"/>
          <w:u w:val="single"/>
        </w:rPr>
        <w:t xml:space="preserve">       </w:t>
      </w:r>
      <w:r>
        <w:rPr>
          <w:rFonts w:hint="eastAsia" w:ascii="宋体" w:hAnsi="宋体"/>
          <w:color w:val="000000"/>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供应商开户行：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709"/>
        <w:numPr>
          <w:ilvl w:val="0"/>
          <w:numId w:val="0"/>
        </w:numPr>
        <w:rPr>
          <w:color w:val="000000"/>
        </w:rPr>
      </w:pPr>
      <w:r>
        <w:rPr>
          <w:color w:val="000000"/>
        </w:rPr>
      </w:r>
      <w:r/>
    </w:p>
    <w:p>
      <w:pPr>
        <w:jc w:val="center"/>
        <w:rPr>
          <w:rFonts w:ascii="黑体" w:hAnsi="黑体" w:eastAsia="黑体"/>
          <w:b/>
          <w:color w:val="000000"/>
          <w:sz w:val="32"/>
          <w:szCs w:val="32"/>
        </w:rPr>
      </w:pPr>
      <w:r>
        <w:rPr>
          <w:rFonts w:hint="eastAsia" w:ascii="宋体" w:hAnsi="宋体"/>
          <w:b/>
          <w:color w:val="000000"/>
          <w:sz w:val="24"/>
          <w:szCs w:val="21"/>
        </w:rPr>
        <w:t xml:space="preserve">附件8 中小微企业声明函（服务类项目）</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本公司（联合体）郑重声明，根据《政府采购促进中小企业发展管理办法》(财库[2020]46号)的规定，本公司（联合体）参加泰州信诚招标代理有限公司组织的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1"/>
        </w:rPr>
        <w:t xml:space="preserve">JSZC-</w:t>
      </w:r>
      <w:r>
        <w:rPr>
          <w:rFonts w:ascii="宋体" w:hAnsi="宋体"/>
          <w:color w:val="000000"/>
          <w:sz w:val="24"/>
          <w:szCs w:val="21"/>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0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firstLine="480"/>
        <w:spacing w:line="560" w:lineRule="exact"/>
        <w:rPr>
          <w:rFonts w:ascii="黑体" w:hAnsi="黑体" w:eastAsia="黑体"/>
          <w:b/>
          <w:color w:val="000000"/>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color w:val="000000"/>
          <w:sz w:val="32"/>
          <w:szCs w:val="32"/>
        </w:rPr>
        <w:br w:type="page" w:clear="all"/>
      </w:r>
      <w:r/>
    </w:p>
    <w:p>
      <w:pPr>
        <w:jc w:val="center"/>
        <w:spacing w:line="588" w:lineRule="exact"/>
        <w:rPr>
          <w:rFonts w:ascii="宋体" w:hAnsi="宋体"/>
          <w:b/>
          <w:color w:val="000000"/>
          <w:sz w:val="24"/>
          <w:szCs w:val="24"/>
        </w:rPr>
      </w:pPr>
      <w:r>
        <w:rPr>
          <w:rFonts w:hint="eastAsia" w:ascii="宋体" w:hAnsi="宋体"/>
          <w:b/>
          <w:color w:val="000000"/>
          <w:sz w:val="24"/>
          <w:szCs w:val="24"/>
        </w:rPr>
        <w:t xml:space="preserve">附件9 残疾人福利性单位声明函（服务类项目）</w:t>
      </w:r>
      <w:r/>
    </w:p>
    <w:p>
      <w:pPr>
        <w:ind w:firstLine="480"/>
        <w:spacing w:line="0" w:lineRule="atLeas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w:t>
      </w:r>
      <w:r>
        <w:rPr>
          <w:rFonts w:ascii="宋体" w:hAnsi="宋体"/>
          <w:color w:val="000000"/>
          <w:sz w:val="24"/>
          <w:szCs w:val="21"/>
          <w:u w:val="single"/>
        </w:rPr>
        <w:t xml:space="preserve">****</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项目采购活动由本单位提供服务。</w:t>
      </w:r>
      <w:r/>
    </w:p>
    <w:p>
      <w:pPr>
        <w:ind w:firstLine="480"/>
        <w:spacing w:line="0" w:lineRule="atLeas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0" w:lineRule="atLeast"/>
        <w:rPr>
          <w:rFonts w:ascii="宋体" w:hAnsi="宋体"/>
          <w:color w:val="000000"/>
          <w:sz w:val="24"/>
          <w:szCs w:val="21"/>
        </w:rPr>
      </w:pPr>
      <w:r>
        <w:rPr>
          <w:rFonts w:ascii="宋体" w:hAnsi="宋体"/>
          <w:color w:val="000000"/>
          <w:sz w:val="24"/>
          <w:szCs w:val="21"/>
        </w:rPr>
      </w:r>
      <w:r/>
    </w:p>
    <w:p>
      <w:pPr>
        <w:ind w:firstLine="480"/>
        <w:spacing w:line="0" w:lineRule="atLeast"/>
        <w:rPr>
          <w:rFonts w:ascii="宋体" w:hAnsi="宋体"/>
          <w:color w:val="000000"/>
          <w:sz w:val="24"/>
          <w:szCs w:val="21"/>
        </w:rPr>
      </w:pPr>
      <w:r>
        <w:rPr>
          <w:rFonts w:hint="eastAsia" w:ascii="宋体" w:hAnsi="宋体"/>
          <w:color w:val="000000"/>
          <w:sz w:val="24"/>
          <w:szCs w:val="21"/>
        </w:rPr>
        <w:t xml:space="preserve">备注：</w:t>
      </w:r>
      <w:r/>
    </w:p>
    <w:p>
      <w:pPr>
        <w:ind w:firstLine="480"/>
        <w:spacing w:line="0" w:lineRule="atLeas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，供应商为残疾人福利性单位并提供服务的必须提供此</w:t>
      </w:r>
      <w:r>
        <w:rPr>
          <w:rFonts w:ascii="宋体" w:hAnsi="宋体"/>
          <w:color w:val="000000"/>
          <w:sz w:val="24"/>
          <w:szCs w:val="21"/>
        </w:rPr>
        <w:t xml:space="preserve">声明函</w:t>
      </w:r>
      <w:r>
        <w:rPr>
          <w:rFonts w:hint="eastAsia" w:ascii="宋体" w:hAnsi="宋体"/>
          <w:color w:val="000000"/>
          <w:sz w:val="24"/>
          <w:szCs w:val="21"/>
        </w:rPr>
        <w:t xml:space="preserve">，</w:t>
      </w:r>
      <w:r>
        <w:rPr>
          <w:rFonts w:ascii="宋体" w:hAnsi="宋体"/>
          <w:color w:val="000000"/>
          <w:sz w:val="24"/>
          <w:szCs w:val="21"/>
        </w:rPr>
        <w:t xml:space="preserve">否则将</w:t>
      </w:r>
      <w:r>
        <w:rPr>
          <w:rFonts w:hint="eastAsia" w:ascii="宋体" w:hAnsi="宋体"/>
          <w:color w:val="000000"/>
          <w:sz w:val="24"/>
          <w:szCs w:val="21"/>
        </w:rPr>
        <w:t xml:space="preserve">不能</w:t>
      </w:r>
      <w:r>
        <w:rPr>
          <w:rFonts w:ascii="宋体" w:hAnsi="宋体"/>
          <w:color w:val="000000"/>
          <w:sz w:val="24"/>
          <w:szCs w:val="21"/>
        </w:rPr>
        <w:t xml:space="preserve">通过资格审查</w:t>
      </w:r>
      <w:r>
        <w:rPr>
          <w:rFonts w:hint="eastAsia" w:ascii="宋体" w:hAnsi="宋体"/>
          <w:color w:val="000000"/>
          <w:sz w:val="24"/>
          <w:szCs w:val="21"/>
        </w:rPr>
        <w:t xml:space="preserve">。</w:t>
      </w:r>
      <w:r/>
    </w:p>
    <w:p>
      <w:pPr>
        <w:ind w:firstLine="480"/>
        <w:spacing w:line="0" w:lineRule="atLeast"/>
        <w:rPr>
          <w:rFonts w:ascii="宋体" w:hAnsi="宋体"/>
          <w:color w:val="000000"/>
          <w:sz w:val="24"/>
          <w:szCs w:val="21"/>
        </w:rPr>
      </w:pPr>
      <w:r>
        <w:rPr>
          <w:rFonts w:hint="eastAsia" w:ascii="宋体" w:hAnsi="宋体"/>
          <w:color w:val="000000"/>
          <w:sz w:val="24"/>
          <w:szCs w:val="21"/>
        </w:rPr>
        <w:t xml:space="preserve">2. 非专门面向中小微型企业采购的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，供应商如不提供此声明函，价格将不做相应扣除。</w:t>
      </w:r>
      <w:r/>
    </w:p>
    <w:p>
      <w:pPr>
        <w:ind w:firstLine="480"/>
        <w:spacing w:line="0" w:lineRule="atLeas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.中标</w:t>
      </w:r>
      <w:r>
        <w:rPr>
          <w:rFonts w:hint="eastAsia" w:ascii="宋体" w:hAnsi="宋体"/>
          <w:color w:val="000000"/>
          <w:sz w:val="24"/>
        </w:rPr>
        <w:t xml:space="preserve">/成交</w:t>
      </w:r>
      <w:r>
        <w:rPr>
          <w:rFonts w:hint="eastAsia" w:ascii="宋体" w:hAnsi="宋体"/>
          <w:color w:val="000000"/>
          <w:sz w:val="24"/>
          <w:szCs w:val="21"/>
        </w:rPr>
        <w:t xml:space="preserve">供应商为残疾人福利性单位的，此声明函将随中标</w:t>
      </w:r>
      <w:r>
        <w:rPr>
          <w:rFonts w:hint="eastAsia" w:ascii="宋体" w:hAnsi="宋体"/>
          <w:color w:val="000000"/>
          <w:sz w:val="24"/>
        </w:rPr>
        <w:t xml:space="preserve">/成交</w:t>
      </w:r>
      <w:r>
        <w:rPr>
          <w:rFonts w:hint="eastAsia" w:ascii="宋体" w:hAnsi="宋体"/>
          <w:color w:val="000000"/>
          <w:sz w:val="24"/>
          <w:szCs w:val="21"/>
        </w:rPr>
        <w:t xml:space="preserve">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59" w:firstLine="624"/>
        <w:jc w:val="center"/>
        <w:spacing w:line="0" w:lineRule="atLeas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59" w:firstLine="480"/>
        <w:jc w:val="center"/>
        <w:spacing w:line="0" w:lineRule="atLeas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ind w:firstLine="645"/>
        <w:spacing w:line="560" w:lineRule="exact"/>
        <w:rPr>
          <w:rFonts w:ascii="宋体" w:hAnsi="宋体"/>
          <w:color w:val="000000"/>
          <w:sz w:val="24"/>
          <w:szCs w:val="21"/>
        </w:rPr>
      </w:pPr>
      <w:r>
        <w:rPr>
          <w:rFonts w:ascii="宋体" w:hAnsi="宋体"/>
          <w:color w:val="000000"/>
          <w:sz w:val="24"/>
          <w:szCs w:val="21"/>
        </w:rPr>
      </w:r>
      <w:r/>
    </w:p>
    <w:p>
      <w:pPr>
        <w:ind w:firstLine="645"/>
        <w:spacing w:line="560" w:lineRule="exact"/>
        <w:rPr>
          <w:rFonts w:ascii="宋体" w:hAnsi="宋体"/>
          <w:color w:val="000000"/>
          <w:sz w:val="24"/>
          <w:szCs w:val="21"/>
        </w:rPr>
      </w:pPr>
      <w:r>
        <w:rPr>
          <w:rFonts w:ascii="宋体" w:hAnsi="宋体"/>
          <w:color w:val="000000"/>
          <w:sz w:val="24"/>
          <w:szCs w:val="21"/>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w:t>
      </w:r>
      <w:r>
        <w:rPr>
          <w:rFonts w:hint="eastAsia" w:ascii="宋体" w:hAnsi="宋体"/>
          <w:b/>
          <w:color w:val="000000"/>
          <w:sz w:val="24"/>
          <w:szCs w:val="24"/>
        </w:rPr>
        <w:t xml:space="preserve">0实质性要求响应及偏离表</w:t>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11-1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供应商</w:t>
      </w:r>
      <w:r>
        <w:rPr>
          <w:rFonts w:hint="eastAsia" w:ascii="宋体" w:hAnsi="宋体"/>
          <w:color w:val="000000"/>
          <w:sz w:val="24"/>
          <w:szCs w:val="24"/>
        </w:rPr>
        <w:t xml:space="preserve">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，否则做无效响应处理。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w:t>
      </w:r>
      <w:r>
        <w:rPr>
          <w:rFonts w:ascii="宋体" w:hAnsi="宋体"/>
          <w:color w:val="000000"/>
          <w:sz w:val="24"/>
          <w:szCs w:val="24"/>
        </w:rPr>
        <w:t xml:space="preserve">磋商</w:t>
      </w:r>
      <w:r>
        <w:rPr>
          <w:rFonts w:hint="eastAsia" w:ascii="宋体" w:hAnsi="宋体"/>
          <w:color w:val="000000"/>
          <w:sz w:val="24"/>
          <w:szCs w:val="24"/>
        </w:rPr>
        <w:t xml:space="preserve">文件</w:t>
      </w:r>
      <w:r>
        <w:rPr>
          <w:rFonts w:ascii="宋体" w:hAnsi="宋体"/>
          <w:color w:val="000000"/>
          <w:sz w:val="24"/>
          <w:szCs w:val="24"/>
        </w:rPr>
        <w:t xml:space="preserve">要求提供</w:t>
      </w:r>
      <w:r>
        <w:rPr>
          <w:rFonts w:hint="eastAsia" w:ascii="宋体" w:hAnsi="宋体"/>
          <w:color w:val="000000"/>
          <w:sz w:val="24"/>
          <w:szCs w:val="24"/>
        </w:rPr>
        <w:t xml:space="preserve">证明</w:t>
      </w:r>
      <w:r>
        <w:rPr>
          <w:rFonts w:ascii="宋体" w:hAnsi="宋体"/>
          <w:color w:val="000000"/>
          <w:sz w:val="24"/>
          <w:szCs w:val="24"/>
        </w:rPr>
        <w:t xml:space="preserve">材料，供应商必须将</w:t>
      </w:r>
      <w:r>
        <w:rPr>
          <w:rFonts w:hint="eastAsia" w:ascii="宋体" w:hAnsi="宋体"/>
          <w:color w:val="000000"/>
          <w:sz w:val="24"/>
          <w:szCs w:val="24"/>
        </w:rPr>
        <w:t xml:space="preserve">证明材料列于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3.供应商未对实质性要求逐条作出明确响应的，或未按磋商文件要求提供证明材料的，该分包作无效响应处理。</w:t>
      </w:r>
      <w:r/>
    </w:p>
    <w:p>
      <w:pPr>
        <w:spacing w:line="400" w:lineRule="exact"/>
        <w:rPr>
          <w:rFonts w:ascii="宋体" w:hAnsi="宋体"/>
          <w:b/>
          <w:color w:val="000000"/>
          <w:sz w:val="24"/>
          <w:szCs w:val="24"/>
        </w:rPr>
      </w:pPr>
      <w:r>
        <w:rPr>
          <w:rFonts w:ascii="宋体" w:hAnsi="宋体"/>
          <w:b/>
          <w:color w:val="000000"/>
          <w:sz w:val="24"/>
          <w:szCs w:val="24"/>
        </w:rPr>
      </w:r>
      <w:r/>
    </w:p>
    <w:p>
      <w:pPr>
        <w:spacing w:line="460" w:lineRule="exact"/>
        <w:rPr>
          <w:rFonts w:ascii="宋体" w:hAnsi="宋体"/>
          <w:bCs/>
          <w:color w:val="000000"/>
          <w:sz w:val="24"/>
          <w:szCs w:val="21"/>
        </w:rPr>
      </w:pPr>
      <w:r>
        <w:rPr>
          <w:rFonts w:ascii="宋体" w:hAnsi="宋体"/>
          <w:bCs/>
          <w:color w:val="000000"/>
          <w:sz w:val="24"/>
          <w:szCs w:val="21"/>
        </w:rPr>
      </w:r>
      <w:bookmarkEnd w:id="180"/>
      <w:r/>
      <w:bookmarkEnd w:id="181"/>
      <w:r/>
      <w:bookmarkEnd w:id="190"/>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000000"/>
          <w:sz w:val="24"/>
          <w:szCs w:val="24"/>
        </w:rPr>
      </w:pPr>
      <w:r>
        <w:rPr>
          <w:rFonts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30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北魏楷书简体">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6"/>
        <w:rFonts w:ascii="宋体" w:hAnsi="宋体"/>
      </w:rPr>
      <w:framePr w:wrap="around" w:vAnchor="text" w:hAnchor="margin" w:xAlign="center" w:y="1"/>
    </w:pPr>
    <w:r>
      <w:rPr>
        <w:rFonts w:ascii="宋体" w:hAnsi="宋体"/>
      </w:rPr>
      <w:fldChar w:fldCharType="begin"/>
    </w:r>
    <w:r>
      <w:rPr>
        <w:rStyle w:val="756"/>
        <w:rFonts w:ascii="宋体" w:hAnsi="宋体"/>
      </w:rPr>
      <w:instrText xml:space="preserve">PAGE  </w:instrText>
    </w:r>
    <w:r>
      <w:rPr>
        <w:rFonts w:ascii="宋体" w:hAnsi="宋体"/>
      </w:rPr>
      <w:fldChar w:fldCharType="separate"/>
    </w:r>
    <w:r>
      <w:rPr>
        <w:rStyle w:val="756"/>
        <w:rFonts w:ascii="宋体" w:hAnsi="宋体"/>
      </w:rPr>
      <w:t xml:space="preserve">23</w:t>
    </w:r>
    <w:r>
      <w:rPr>
        <w:rFonts w:ascii="宋体" w:hAnsi="宋体"/>
      </w:rPr>
      <w:fldChar w:fldCharType="end"/>
    </w:r>
    <w:r/>
  </w:p>
  <w:p>
    <w:pPr>
      <w:pStyle w:val="73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1</w:t>
    </w:r>
    <w:r>
      <w:fldChar w:fldCharType="end"/>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40"/>
        <w:tabs>
          <w:tab w:val="left" w:pos="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9"/>
      <w:isLgl w:val="false"/>
      <w:suff w:val="nothing"/>
      <w:lvlText w:val=""/>
      <w:lvlJc w:val="left"/>
      <w:pPr>
        <w:ind w:left="0" w:firstLine="0"/>
      </w:pPr>
      <w:rPr>
        <w:rFonts w:hint="eastAsia"/>
      </w:rPr>
    </w:lvl>
    <w:lvl w:ilvl="6">
      <w:start w:val="1"/>
      <w:numFmt w:val="decimal"/>
      <w:pStyle w:val="710"/>
      <w:isLgl w:val="false"/>
      <w:suff w:val="nothing"/>
      <w:lvlText w:val=""/>
      <w:lvlJc w:val="left"/>
      <w:pPr>
        <w:ind w:left="0" w:firstLine="0"/>
      </w:pPr>
      <w:rPr>
        <w:rFonts w:hint="eastAsia"/>
      </w:rPr>
    </w:lvl>
    <w:lvl w:ilvl="7">
      <w:start w:val="1"/>
      <w:numFmt w:val="decimal"/>
      <w:pStyle w:val="711"/>
      <w:isLgl w:val="false"/>
      <w:suff w:val="nothing"/>
      <w:lvlText w:val=""/>
      <w:lvlJc w:val="left"/>
      <w:pPr>
        <w:ind w:left="0" w:firstLine="0"/>
      </w:pPr>
      <w:rPr>
        <w:rFonts w:hint="eastAsia"/>
      </w:rPr>
    </w:lvl>
    <w:lvl w:ilvl="8">
      <w:start w:val="1"/>
      <w:numFmt w:val="decimal"/>
      <w:pStyle w:val="712"/>
      <w:isLgl w:val="false"/>
      <w:suff w:val="nothing"/>
      <w:lvlText w:val=""/>
      <w:lvlJc w:val="left"/>
      <w:pPr>
        <w:ind w:left="0" w:firstLine="0"/>
      </w:pPr>
      <w:rPr>
        <w:rFonts w:hint="eastAsia"/>
      </w:rPr>
    </w:lvl>
  </w:abstractNum>
  <w:num w:numId="1">
    <w:abstractNumId w:val="7"/>
  </w:num>
  <w:num w:numId="2">
    <w:abstractNumId w:val="3"/>
  </w:num>
  <w:num w:numId="3">
    <w:abstractNumId w:val="6"/>
  </w:num>
  <w:num w:numId="4">
    <w:abstractNumId w:val="4"/>
  </w:num>
  <w:num w:numId="5">
    <w:abstractNumId w:val="5"/>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Title Char"/>
    <w:basedOn w:val="713"/>
    <w:link w:val="749"/>
    <w:uiPriority w:val="10"/>
    <w:rPr>
      <w:sz w:val="48"/>
      <w:szCs w:val="48"/>
    </w:rPr>
  </w:style>
  <w:style w:type="character" w:styleId="697">
    <w:name w:val="Subtitle Char"/>
    <w:basedOn w:val="713"/>
    <w:link w:val="738"/>
    <w:uiPriority w:val="11"/>
    <w:rPr>
      <w:sz w:val="24"/>
      <w:szCs w:val="24"/>
    </w:rPr>
  </w:style>
  <w:style w:type="character" w:styleId="698">
    <w:name w:val="Quote Char"/>
    <w:link w:val="773"/>
    <w:uiPriority w:val="29"/>
    <w:rPr>
      <w:i/>
    </w:rPr>
  </w:style>
  <w:style w:type="character" w:styleId="699">
    <w:name w:val="Intense Quote Char"/>
    <w:link w:val="775"/>
    <w:uiPriority w:val="30"/>
    <w:rPr>
      <w:i/>
    </w:rPr>
  </w:style>
  <w:style w:type="character" w:styleId="700">
    <w:name w:val="Footnote Text Char"/>
    <w:link w:val="740"/>
    <w:uiPriority w:val="99"/>
    <w:rPr>
      <w:sz w:val="18"/>
    </w:rPr>
  </w:style>
  <w:style w:type="character" w:styleId="701">
    <w:name w:val="Endnote Text Char"/>
    <w:link w:val="732"/>
    <w:uiPriority w:val="99"/>
    <w:rPr>
      <w:sz w:val="20"/>
    </w:rPr>
  </w:style>
  <w:style w:type="paragraph" w:styleId="702">
    <w:name w:val="TOC Heading"/>
    <w:uiPriority w:val="39"/>
    <w:unhideWhenUsed/>
  </w:style>
  <w:style w:type="paragraph" w:styleId="703" w:default="1">
    <w:name w:val="Normal"/>
    <w:next w:val="715"/>
    <w:uiPriority w:val="0"/>
    <w:qFormat/>
    <w:pPr>
      <w:jc w:val="both"/>
      <w:widowControl w:val="off"/>
    </w:pPr>
    <w:rPr>
      <w:rFonts w:ascii="Calibri" w:hAnsi="Calibri" w:eastAsia="宋体" w:cs="Times New Roman"/>
      <w:sz w:val="21"/>
      <w:szCs w:val="22"/>
      <w:lang w:val="en-US" w:eastAsia="zh-CN" w:bidi="ar-SA"/>
    </w:rPr>
  </w:style>
  <w:style w:type="paragraph" w:styleId="704">
    <w:name w:val="Heading 1"/>
    <w:basedOn w:val="703"/>
    <w:next w:val="703"/>
    <w:link w:val="909"/>
    <w:uiPriority w:val="0"/>
    <w:qFormat/>
    <w:pPr>
      <w:jc w:val="center"/>
      <w:keepNext/>
      <w:outlineLvl w:val="0"/>
    </w:pPr>
    <w:rPr>
      <w:rFonts w:ascii="楷体_GB2312" w:hAnsi="Times New Roman" w:eastAsia="楷体_GB2312"/>
      <w:sz w:val="28"/>
      <w:szCs w:val="28"/>
    </w:rPr>
  </w:style>
  <w:style w:type="paragraph" w:styleId="705">
    <w:name w:val="Heading 2"/>
    <w:basedOn w:val="703"/>
    <w:next w:val="716"/>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6">
    <w:name w:val="Heading 3"/>
    <w:basedOn w:val="703"/>
    <w:next w:val="716"/>
    <w:link w:val="912"/>
    <w:uiPriority w:val="0"/>
    <w:qFormat/>
    <w:pPr>
      <w:keepLines/>
      <w:keepNext/>
      <w:spacing w:before="260" w:after="260" w:line="416" w:lineRule="auto"/>
      <w:outlineLvl w:val="2"/>
    </w:pPr>
    <w:rPr>
      <w:rFonts w:ascii="Times New Roman" w:hAnsi="Times New Roman"/>
      <w:b/>
      <w:bCs/>
      <w:sz w:val="32"/>
      <w:szCs w:val="32"/>
    </w:rPr>
  </w:style>
  <w:style w:type="paragraph" w:styleId="707">
    <w:name w:val="Heading 4"/>
    <w:basedOn w:val="703"/>
    <w:next w:val="716"/>
    <w:link w:val="913"/>
    <w:uiPriority w:val="0"/>
    <w:qFormat/>
    <w:pPr>
      <w:keepLines/>
      <w:keepNext/>
      <w:spacing w:before="280" w:after="290" w:line="376" w:lineRule="auto"/>
      <w:outlineLvl w:val="3"/>
    </w:pPr>
    <w:rPr>
      <w:rFonts w:ascii="Arial" w:hAnsi="Arial" w:eastAsia="黑体" w:cs="Arial"/>
      <w:b/>
      <w:bCs/>
      <w:sz w:val="28"/>
      <w:szCs w:val="28"/>
    </w:rPr>
  </w:style>
  <w:style w:type="paragraph" w:styleId="708">
    <w:name w:val="Heading 5"/>
    <w:basedOn w:val="703"/>
    <w:next w:val="716"/>
    <w:link w:val="914"/>
    <w:uiPriority w:val="0"/>
    <w:qFormat/>
    <w:pPr>
      <w:keepNext/>
      <w:outlineLvl w:val="4"/>
    </w:pPr>
    <w:rPr>
      <w:rFonts w:ascii="宋体" w:hAnsi="Times New Roman"/>
      <w:color w:val="000000"/>
      <w:sz w:val="28"/>
      <w:szCs w:val="28"/>
    </w:rPr>
  </w:style>
  <w:style w:type="paragraph" w:styleId="709">
    <w:name w:val="Heading 6"/>
    <w:basedOn w:val="703"/>
    <w:next w:val="703"/>
    <w:link w:val="9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0">
    <w:name w:val="Heading 7"/>
    <w:basedOn w:val="703"/>
    <w:next w:val="703"/>
    <w:link w:val="916"/>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11">
    <w:name w:val="Heading 8"/>
    <w:basedOn w:val="703"/>
    <w:next w:val="703"/>
    <w:link w:val="9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2">
    <w:name w:val="Heading 9"/>
    <w:basedOn w:val="703"/>
    <w:next w:val="703"/>
    <w:link w:val="918"/>
    <w:uiPriority w:val="0"/>
    <w:qFormat/>
    <w:pPr>
      <w:numPr>
        <w:ilvl w:val="8"/>
        <w:numId w:val="1"/>
      </w:numPr>
      <w:keepLines/>
      <w:keepNext/>
      <w:spacing w:before="240" w:after="64" w:line="320" w:lineRule="auto"/>
      <w:outlineLvl w:val="8"/>
    </w:pPr>
    <w:rPr>
      <w:rFonts w:ascii="Arial" w:hAnsi="Arial" w:eastAsia="黑体"/>
      <w:szCs w:val="21"/>
    </w:rPr>
  </w:style>
  <w:style w:type="character" w:styleId="713" w:default="1">
    <w:name w:val="Default Paragraph Font"/>
    <w:uiPriority w:val="1"/>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Body Text"/>
    <w:basedOn w:val="703"/>
    <w:link w:val="922"/>
    <w:uiPriority w:val="0"/>
    <w:qFormat/>
    <w:rPr>
      <w:rFonts w:ascii="楷体_GB2312" w:hAnsi="Arial" w:eastAsia="楷体_GB2312"/>
      <w:sz w:val="28"/>
      <w:szCs w:val="28"/>
    </w:rPr>
  </w:style>
  <w:style w:type="paragraph" w:styleId="716">
    <w:name w:val="Normal Indent"/>
    <w:basedOn w:val="703"/>
    <w:link w:val="911"/>
    <w:uiPriority w:val="0"/>
    <w:qFormat/>
    <w:pPr>
      <w:ind w:firstLine="420"/>
    </w:pPr>
    <w:rPr>
      <w:szCs w:val="21"/>
    </w:rPr>
  </w:style>
  <w:style w:type="paragraph" w:styleId="717">
    <w:name w:val="List 3"/>
    <w:basedOn w:val="703"/>
    <w:uiPriority w:val="0"/>
    <w:qFormat/>
    <w:pPr>
      <w:ind w:left="100" w:hanging="200"/>
    </w:pPr>
    <w:rPr>
      <w:rFonts w:ascii="Times New Roman" w:hAnsi="Times New Roman"/>
      <w:szCs w:val="21"/>
    </w:rPr>
  </w:style>
  <w:style w:type="paragraph" w:styleId="718">
    <w:name w:val="toc 7"/>
    <w:basedOn w:val="703"/>
    <w:next w:val="703"/>
    <w:uiPriority w:val="0"/>
    <w:semiHidden/>
    <w:qFormat/>
    <w:pPr>
      <w:ind w:left="1260"/>
      <w:jc w:val="left"/>
    </w:pPr>
    <w:rPr>
      <w:rFonts w:ascii="Times New Roman" w:hAnsi="Times New Roman"/>
      <w:szCs w:val="21"/>
    </w:rPr>
  </w:style>
  <w:style w:type="paragraph" w:styleId="719">
    <w:name w:val="Caption"/>
    <w:basedOn w:val="703"/>
    <w:next w:val="703"/>
    <w:uiPriority w:val="35"/>
    <w:semiHidden/>
    <w:unhideWhenUsed/>
    <w:qFormat/>
    <w:pPr>
      <w:spacing w:line="276" w:lineRule="auto"/>
    </w:pPr>
    <w:rPr>
      <w:b/>
      <w:bCs/>
      <w:color w:val="4f81bd"/>
      <w:sz w:val="18"/>
      <w:szCs w:val="18"/>
    </w:rPr>
  </w:style>
  <w:style w:type="paragraph" w:styleId="720">
    <w:name w:val="Document Map"/>
    <w:basedOn w:val="703"/>
    <w:link w:val="919"/>
    <w:uiPriority w:val="0"/>
    <w:semiHidden/>
    <w:qFormat/>
    <w:pPr>
      <w:shd w:val="clear" w:color="auto" w:fill="000080"/>
    </w:pPr>
    <w:rPr>
      <w:rFonts w:ascii="Times New Roman" w:hAnsi="Times New Roman"/>
      <w:szCs w:val="21"/>
    </w:rPr>
  </w:style>
  <w:style w:type="paragraph" w:styleId="721">
    <w:name w:val="annotation text"/>
    <w:basedOn w:val="703"/>
    <w:link w:val="920"/>
    <w:uiPriority w:val="0"/>
    <w:unhideWhenUsed/>
    <w:qFormat/>
    <w:pPr>
      <w:jc w:val="left"/>
    </w:pPr>
  </w:style>
  <w:style w:type="paragraph" w:styleId="722">
    <w:name w:val="Body Text 3"/>
    <w:basedOn w:val="703"/>
    <w:link w:val="921"/>
    <w:uiPriority w:val="0"/>
    <w:qFormat/>
    <w:rPr>
      <w:rFonts w:ascii="仿宋_GB2312" w:hAnsi="Arial" w:eastAsia="仿宋_GB2312"/>
      <w:sz w:val="32"/>
      <w:szCs w:val="32"/>
    </w:rPr>
  </w:style>
  <w:style w:type="paragraph" w:styleId="723">
    <w:name w:val="Body Text Indent"/>
    <w:basedOn w:val="703"/>
    <w:link w:val="923"/>
    <w:uiPriority w:val="0"/>
    <w:unhideWhenUsed/>
    <w:qFormat/>
    <w:pPr>
      <w:ind w:left="420"/>
      <w:spacing w:after="120"/>
    </w:pPr>
  </w:style>
  <w:style w:type="paragraph" w:styleId="724">
    <w:name w:val="List 2"/>
    <w:basedOn w:val="703"/>
    <w:uiPriority w:val="0"/>
    <w:qFormat/>
    <w:pPr>
      <w:ind w:left="100" w:hanging="200"/>
    </w:pPr>
    <w:rPr>
      <w:rFonts w:ascii="Times New Roman" w:hAnsi="Times New Roman"/>
      <w:szCs w:val="21"/>
    </w:rPr>
  </w:style>
  <w:style w:type="paragraph" w:styleId="725">
    <w:name w:val="Block Text"/>
    <w:basedOn w:val="703"/>
    <w:uiPriority w:val="0"/>
    <w:qFormat/>
    <w:pPr>
      <w:ind w:left="567" w:right="454" w:firstLine="480"/>
      <w:jc w:val="left"/>
      <w:widowControl/>
    </w:pPr>
    <w:rPr>
      <w:rFonts w:ascii="仿宋_GB2312" w:eastAsia="仿宋_GB2312"/>
      <w:sz w:val="30"/>
      <w:szCs w:val="20"/>
    </w:rPr>
  </w:style>
  <w:style w:type="paragraph" w:styleId="726">
    <w:name w:val="toc 5"/>
    <w:basedOn w:val="703"/>
    <w:next w:val="703"/>
    <w:uiPriority w:val="0"/>
    <w:semiHidden/>
    <w:qFormat/>
    <w:pPr>
      <w:ind w:left="840"/>
      <w:jc w:val="left"/>
    </w:pPr>
    <w:rPr>
      <w:rFonts w:ascii="Times New Roman" w:hAnsi="Times New Roman"/>
      <w:szCs w:val="21"/>
    </w:rPr>
  </w:style>
  <w:style w:type="paragraph" w:styleId="727">
    <w:name w:val="toc 3"/>
    <w:basedOn w:val="703"/>
    <w:next w:val="703"/>
    <w:uiPriority w:val="0"/>
    <w:semiHidden/>
    <w:qFormat/>
    <w:pPr>
      <w:ind w:left="420"/>
      <w:jc w:val="left"/>
    </w:pPr>
    <w:rPr>
      <w:rFonts w:ascii="Times New Roman" w:hAnsi="Times New Roman"/>
      <w:i/>
      <w:iCs/>
      <w:szCs w:val="24"/>
    </w:rPr>
  </w:style>
  <w:style w:type="paragraph" w:styleId="728">
    <w:name w:val="Plain Text"/>
    <w:basedOn w:val="703"/>
    <w:link w:val="924"/>
    <w:uiPriority w:val="0"/>
    <w:qFormat/>
    <w:rPr>
      <w:rFonts w:ascii="宋体" w:hAnsi="Courier New" w:cs="Courier New"/>
      <w:szCs w:val="21"/>
    </w:rPr>
  </w:style>
  <w:style w:type="paragraph" w:styleId="729">
    <w:name w:val="toc 8"/>
    <w:basedOn w:val="703"/>
    <w:next w:val="703"/>
    <w:uiPriority w:val="0"/>
    <w:semiHidden/>
    <w:qFormat/>
    <w:pPr>
      <w:ind w:left="1470"/>
      <w:jc w:val="left"/>
    </w:pPr>
    <w:rPr>
      <w:rFonts w:ascii="Times New Roman" w:hAnsi="Times New Roman"/>
      <w:szCs w:val="21"/>
    </w:rPr>
  </w:style>
  <w:style w:type="paragraph" w:styleId="730">
    <w:name w:val="Date"/>
    <w:basedOn w:val="703"/>
    <w:next w:val="703"/>
    <w:link w:val="925"/>
    <w:uiPriority w:val="0"/>
    <w:qFormat/>
    <w:rPr>
      <w:rFonts w:ascii="Times New Roman" w:hAnsi="Times New Roman"/>
      <w:sz w:val="24"/>
      <w:szCs w:val="24"/>
    </w:rPr>
  </w:style>
  <w:style w:type="paragraph" w:styleId="731">
    <w:name w:val="Body Text Indent 2"/>
    <w:basedOn w:val="703"/>
    <w:link w:val="926"/>
    <w:uiPriority w:val="0"/>
    <w:qFormat/>
    <w:pPr>
      <w:ind w:left="630" w:firstLine="645"/>
    </w:pPr>
    <w:rPr>
      <w:rFonts w:ascii="Arial" w:hAnsi="Arial" w:eastAsia="仿宋_GB2312" w:cs="Arial"/>
      <w:sz w:val="32"/>
      <w:szCs w:val="32"/>
    </w:rPr>
  </w:style>
  <w:style w:type="paragraph" w:styleId="732">
    <w:name w:val="endnote text"/>
    <w:basedOn w:val="703"/>
    <w:link w:val="906"/>
    <w:uiPriority w:val="99"/>
    <w:semiHidden/>
    <w:unhideWhenUsed/>
    <w:qFormat/>
    <w:rPr>
      <w:sz w:val="20"/>
    </w:rPr>
  </w:style>
  <w:style w:type="paragraph" w:styleId="733">
    <w:name w:val="Balloon Text"/>
    <w:basedOn w:val="703"/>
    <w:link w:val="927"/>
    <w:uiPriority w:val="0"/>
    <w:semiHidden/>
    <w:qFormat/>
    <w:rPr>
      <w:rFonts w:ascii="Times New Roman" w:hAnsi="Times New Roman"/>
      <w:sz w:val="18"/>
      <w:szCs w:val="18"/>
    </w:rPr>
  </w:style>
  <w:style w:type="paragraph" w:styleId="734">
    <w:name w:val="Footer"/>
    <w:basedOn w:val="703"/>
    <w:link w:val="928"/>
    <w:uiPriority w:val="0"/>
    <w:qFormat/>
    <w:pPr>
      <w:jc w:val="left"/>
      <w:tabs>
        <w:tab w:val="center" w:pos="4153" w:leader="none"/>
        <w:tab w:val="right" w:pos="8306" w:leader="none"/>
      </w:tabs>
    </w:pPr>
    <w:rPr>
      <w:rFonts w:ascii="Times New Roman" w:hAnsi="Times New Roman"/>
      <w:sz w:val="18"/>
      <w:szCs w:val="18"/>
    </w:rPr>
  </w:style>
  <w:style w:type="paragraph" w:styleId="735">
    <w:name w:val="Header"/>
    <w:basedOn w:val="703"/>
    <w:link w:val="92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36">
    <w:name w:val="toc 1"/>
    <w:basedOn w:val="703"/>
    <w:next w:val="703"/>
    <w:uiPriority w:val="0"/>
    <w:semiHidden/>
    <w:qFormat/>
    <w:pPr>
      <w:jc w:val="left"/>
      <w:spacing w:before="120" w:after="120" w:line="400" w:lineRule="exact"/>
      <w:tabs>
        <w:tab w:val="right" w:pos="8720" w:leader="dot"/>
      </w:tabs>
    </w:pPr>
    <w:rPr>
      <w:rFonts w:ascii="宋体" w:hAnsi="宋体"/>
      <w:caps/>
      <w:sz w:val="24"/>
      <w:szCs w:val="24"/>
    </w:rPr>
  </w:style>
  <w:style w:type="paragraph" w:styleId="737">
    <w:name w:val="toc 4"/>
    <w:basedOn w:val="703"/>
    <w:next w:val="703"/>
    <w:uiPriority w:val="0"/>
    <w:semiHidden/>
    <w:qFormat/>
    <w:pPr>
      <w:ind w:left="630"/>
      <w:jc w:val="left"/>
    </w:pPr>
    <w:rPr>
      <w:rFonts w:ascii="Times New Roman" w:hAnsi="Times New Roman"/>
      <w:szCs w:val="21"/>
    </w:rPr>
  </w:style>
  <w:style w:type="paragraph" w:styleId="738">
    <w:name w:val="Subtitle"/>
    <w:basedOn w:val="703"/>
    <w:next w:val="703"/>
    <w:link w:val="772"/>
    <w:uiPriority w:val="11"/>
    <w:qFormat/>
    <w:pPr>
      <w:spacing w:before="200" w:after="200"/>
    </w:pPr>
    <w:rPr>
      <w:sz w:val="24"/>
      <w:szCs w:val="24"/>
    </w:rPr>
  </w:style>
  <w:style w:type="paragraph" w:styleId="739">
    <w:name w:val="List"/>
    <w:basedOn w:val="703"/>
    <w:uiPriority w:val="0"/>
    <w:qFormat/>
    <w:pPr>
      <w:ind w:left="200" w:hanging="200"/>
    </w:pPr>
    <w:rPr>
      <w:rFonts w:ascii="Times New Roman" w:hAnsi="Times New Roman"/>
      <w:szCs w:val="21"/>
    </w:rPr>
  </w:style>
  <w:style w:type="paragraph" w:styleId="740">
    <w:name w:val="footnote text"/>
    <w:basedOn w:val="703"/>
    <w:link w:val="905"/>
    <w:uiPriority w:val="99"/>
    <w:semiHidden/>
    <w:unhideWhenUsed/>
    <w:qFormat/>
    <w:pPr>
      <w:spacing w:after="40"/>
    </w:pPr>
    <w:rPr>
      <w:sz w:val="18"/>
    </w:rPr>
  </w:style>
  <w:style w:type="paragraph" w:styleId="741">
    <w:name w:val="toc 6"/>
    <w:basedOn w:val="703"/>
    <w:next w:val="703"/>
    <w:uiPriority w:val="0"/>
    <w:semiHidden/>
    <w:qFormat/>
    <w:pPr>
      <w:ind w:left="1050"/>
      <w:jc w:val="left"/>
    </w:pPr>
    <w:rPr>
      <w:rFonts w:ascii="Times New Roman" w:hAnsi="Times New Roman"/>
      <w:szCs w:val="21"/>
    </w:rPr>
  </w:style>
  <w:style w:type="paragraph" w:styleId="742">
    <w:name w:val="Body Text Indent 3"/>
    <w:basedOn w:val="703"/>
    <w:link w:val="930"/>
    <w:uiPriority w:val="0"/>
    <w:qFormat/>
    <w:pPr>
      <w:ind w:left="645" w:firstLine="645"/>
    </w:pPr>
    <w:rPr>
      <w:rFonts w:ascii="Arial" w:hAnsi="Arial" w:eastAsia="仿宋_GB2312" w:cs="Arial"/>
      <w:color w:val="ffff00"/>
      <w:sz w:val="32"/>
      <w:szCs w:val="32"/>
    </w:rPr>
  </w:style>
  <w:style w:type="paragraph" w:styleId="743">
    <w:name w:val="table of figures"/>
    <w:basedOn w:val="703"/>
    <w:next w:val="703"/>
    <w:uiPriority w:val="0"/>
    <w:semiHidden/>
    <w:qFormat/>
    <w:pPr>
      <w:ind w:left="840" w:hanging="420"/>
    </w:pPr>
    <w:rPr>
      <w:rFonts w:ascii="Times New Roman" w:hAnsi="Times New Roman"/>
      <w:szCs w:val="21"/>
    </w:rPr>
  </w:style>
  <w:style w:type="paragraph" w:styleId="744">
    <w:name w:val="toc 2"/>
    <w:basedOn w:val="703"/>
    <w:next w:val="703"/>
    <w:uiPriority w:val="0"/>
    <w:semiHidden/>
    <w:qFormat/>
    <w:pPr>
      <w:ind w:left="210"/>
      <w:jc w:val="left"/>
    </w:pPr>
    <w:rPr>
      <w:rFonts w:ascii="Times New Roman" w:hAnsi="Times New Roman"/>
      <w:smallCaps/>
      <w:szCs w:val="24"/>
    </w:rPr>
  </w:style>
  <w:style w:type="paragraph" w:styleId="745">
    <w:name w:val="toc 9"/>
    <w:basedOn w:val="703"/>
    <w:next w:val="703"/>
    <w:uiPriority w:val="0"/>
    <w:semiHidden/>
    <w:qFormat/>
    <w:pPr>
      <w:ind w:left="1680"/>
      <w:jc w:val="left"/>
    </w:pPr>
    <w:rPr>
      <w:rFonts w:ascii="Times New Roman" w:hAnsi="Times New Roman"/>
      <w:szCs w:val="21"/>
    </w:rPr>
  </w:style>
  <w:style w:type="paragraph" w:styleId="746">
    <w:name w:val="Body Text 2"/>
    <w:basedOn w:val="703"/>
    <w:link w:val="908"/>
    <w:uiPriority w:val="0"/>
    <w:qFormat/>
    <w:pPr>
      <w:jc w:val="center"/>
      <w:widowControl/>
    </w:pPr>
    <w:rPr>
      <w:rFonts w:ascii="楷体_GB2312" w:hAnsi="Times New Roman" w:eastAsia="楷体_GB2312"/>
      <w:sz w:val="28"/>
      <w:szCs w:val="28"/>
    </w:rPr>
  </w:style>
  <w:style w:type="paragraph" w:styleId="747">
    <w:name w:val="Normal (Web)"/>
    <w:basedOn w:val="703"/>
    <w:uiPriority w:val="0"/>
    <w:qFormat/>
    <w:pPr>
      <w:jc w:val="left"/>
      <w:spacing w:before="100" w:beforeAutospacing="1" w:after="100" w:afterAutospacing="1"/>
      <w:widowControl/>
    </w:pPr>
    <w:rPr>
      <w:rFonts w:ascii="宋体" w:hAnsi="宋体" w:cs="宋体"/>
      <w:sz w:val="24"/>
      <w:szCs w:val="24"/>
    </w:rPr>
  </w:style>
  <w:style w:type="paragraph" w:styleId="748">
    <w:name w:val="index 1"/>
    <w:basedOn w:val="703"/>
    <w:next w:val="703"/>
    <w:uiPriority w:val="0"/>
    <w:semiHidden/>
    <w:qFormat/>
    <w:pPr>
      <w:spacing w:line="240" w:lineRule="atLeast"/>
    </w:pPr>
    <w:rPr>
      <w:rFonts w:ascii="Times New Roman" w:hAnsi="Times New Roman"/>
      <w:b/>
      <w:bCs/>
      <w:szCs w:val="21"/>
    </w:rPr>
  </w:style>
  <w:style w:type="paragraph" w:styleId="749">
    <w:name w:val="Title"/>
    <w:basedOn w:val="703"/>
    <w:next w:val="703"/>
    <w:link w:val="771"/>
    <w:uiPriority w:val="10"/>
    <w:qFormat/>
    <w:pPr>
      <w:contextualSpacing/>
      <w:spacing w:before="300" w:after="200"/>
    </w:pPr>
    <w:rPr>
      <w:sz w:val="48"/>
      <w:szCs w:val="48"/>
    </w:rPr>
  </w:style>
  <w:style w:type="paragraph" w:styleId="750">
    <w:name w:val="annotation subject"/>
    <w:basedOn w:val="721"/>
    <w:next w:val="721"/>
    <w:link w:val="931"/>
    <w:uiPriority w:val="0"/>
    <w:semiHidden/>
    <w:qFormat/>
    <w:rPr>
      <w:rFonts w:ascii="Times New Roman" w:hAnsi="Times New Roman"/>
      <w:b/>
      <w:bCs/>
      <w:szCs w:val="21"/>
    </w:rPr>
  </w:style>
  <w:style w:type="paragraph" w:styleId="751">
    <w:name w:val="Body Text First Indent"/>
    <w:basedOn w:val="703"/>
    <w:link w:val="932"/>
    <w:uiPriority w:val="0"/>
    <w:qFormat/>
    <w:pPr>
      <w:ind w:firstLine="200"/>
      <w:spacing w:line="360" w:lineRule="auto"/>
    </w:pPr>
    <w:rPr>
      <w:rFonts w:ascii="仿宋_GB2312" w:hAnsi="Times New Roman" w:eastAsia="仿宋_GB2312"/>
      <w:sz w:val="30"/>
      <w:szCs w:val="30"/>
    </w:rPr>
  </w:style>
  <w:style w:type="paragraph" w:styleId="752">
    <w:name w:val="Body Text First Indent 2"/>
    <w:basedOn w:val="723"/>
    <w:link w:val="933"/>
    <w:uiPriority w:val="0"/>
    <w:qFormat/>
    <w:pPr>
      <w:ind w:left="0" w:firstLine="420"/>
      <w:spacing w:after="0" w:line="360" w:lineRule="auto"/>
    </w:pPr>
    <w:rPr>
      <w:rFonts w:ascii="宋体" w:hAnsi="宋体"/>
      <w:szCs w:val="20"/>
    </w:rPr>
  </w:style>
  <w:style w:type="table" w:styleId="753">
    <w:name w:val="Table Grid"/>
    <w:basedOn w:val="714"/>
    <w:uiPriority w:val="0"/>
    <w:qFormat/>
    <w:pPr>
      <w:jc w:val="both"/>
      <w:widowControl w:val="off"/>
    </w:pPr>
    <w:tblPr>
      <w:tblCellMar>
        <w:left w:w="108" w:type="dxa"/>
        <w:top w:w="0" w:type="dxa"/>
        <w:right w:w="108" w:type="dxa"/>
        <w:bottom w:w="0" w:type="dxa"/>
      </w:tblCellMar>
    </w:tblPr>
  </w:style>
  <w:style w:type="character" w:styleId="754">
    <w:name w:val="Strong"/>
    <w:uiPriority w:val="0"/>
    <w:qFormat/>
    <w:rPr>
      <w:b/>
      <w:bCs/>
    </w:rPr>
  </w:style>
  <w:style w:type="character" w:styleId="755">
    <w:name w:val="endnote reference"/>
    <w:uiPriority w:val="99"/>
    <w:semiHidden/>
    <w:unhideWhenUsed/>
    <w:qFormat/>
    <w:rPr>
      <w:vertAlign w:val="superscript"/>
    </w:rPr>
  </w:style>
  <w:style w:type="character" w:styleId="756">
    <w:name w:val="page number"/>
    <w:uiPriority w:val="0"/>
    <w:qFormat/>
  </w:style>
  <w:style w:type="character" w:styleId="757">
    <w:name w:val="Hyperlink"/>
    <w:uiPriority w:val="99"/>
    <w:qFormat/>
    <w:rPr>
      <w:color w:val="0000ff"/>
      <w:u w:val="single"/>
    </w:rPr>
  </w:style>
  <w:style w:type="character" w:styleId="758">
    <w:name w:val="annotation reference"/>
    <w:uiPriority w:val="0"/>
    <w:semiHidden/>
    <w:qFormat/>
    <w:rPr>
      <w:sz w:val="21"/>
      <w:szCs w:val="21"/>
    </w:rPr>
  </w:style>
  <w:style w:type="character" w:styleId="759">
    <w:name w:val="footnote reference"/>
    <w:uiPriority w:val="99"/>
    <w:unhideWhenUsed/>
    <w:qFormat/>
    <w:rPr>
      <w:vertAlign w:val="superscript"/>
    </w:rPr>
  </w:style>
  <w:style w:type="character" w:styleId="760" w:customStyle="1">
    <w:name w:val="Heading 1 Char"/>
    <w:uiPriority w:val="9"/>
    <w:qFormat/>
    <w:rPr>
      <w:rFonts w:ascii="Arial" w:hAnsi="Arial" w:eastAsia="Arial" w:cs="Arial"/>
      <w:sz w:val="40"/>
      <w:szCs w:val="40"/>
    </w:rPr>
  </w:style>
  <w:style w:type="character" w:styleId="761" w:customStyle="1">
    <w:name w:val="Heading 2 Char"/>
    <w:uiPriority w:val="9"/>
    <w:qFormat/>
    <w:rPr>
      <w:rFonts w:ascii="Arial" w:hAnsi="Arial" w:eastAsia="Arial" w:cs="Arial"/>
      <w:sz w:val="34"/>
    </w:rPr>
  </w:style>
  <w:style w:type="character" w:styleId="762" w:customStyle="1">
    <w:name w:val="Heading 3 Char"/>
    <w:uiPriority w:val="9"/>
    <w:qFormat/>
    <w:rPr>
      <w:rFonts w:ascii="Arial" w:hAnsi="Arial" w:eastAsia="Arial" w:cs="Arial"/>
      <w:sz w:val="30"/>
      <w:szCs w:val="30"/>
    </w:rPr>
  </w:style>
  <w:style w:type="character" w:styleId="763" w:customStyle="1">
    <w:name w:val="Heading 4 Char"/>
    <w:uiPriority w:val="9"/>
    <w:qFormat/>
    <w:rPr>
      <w:rFonts w:ascii="Arial" w:hAnsi="Arial" w:eastAsia="Arial" w:cs="Arial"/>
      <w:b/>
      <w:bCs/>
      <w:sz w:val="26"/>
      <w:szCs w:val="26"/>
    </w:rPr>
  </w:style>
  <w:style w:type="character" w:styleId="764" w:customStyle="1">
    <w:name w:val="Heading 5 Char"/>
    <w:uiPriority w:val="9"/>
    <w:qFormat/>
    <w:rPr>
      <w:rFonts w:ascii="Arial" w:hAnsi="Arial" w:eastAsia="Arial" w:cs="Arial"/>
      <w:b/>
      <w:bCs/>
      <w:sz w:val="24"/>
      <w:szCs w:val="24"/>
    </w:rPr>
  </w:style>
  <w:style w:type="character" w:styleId="765" w:customStyle="1">
    <w:name w:val="Heading 6 Char"/>
    <w:uiPriority w:val="9"/>
    <w:qFormat/>
    <w:rPr>
      <w:rFonts w:ascii="Arial" w:hAnsi="Arial" w:eastAsia="Arial" w:cs="Arial"/>
      <w:b/>
      <w:bCs/>
      <w:sz w:val="22"/>
      <w:szCs w:val="22"/>
    </w:rPr>
  </w:style>
  <w:style w:type="character" w:styleId="766" w:customStyle="1">
    <w:name w:val="Heading 7 Char"/>
    <w:uiPriority w:val="9"/>
    <w:qFormat/>
    <w:rPr>
      <w:rFonts w:ascii="Arial" w:hAnsi="Arial" w:eastAsia="Arial" w:cs="Arial"/>
      <w:b/>
      <w:bCs/>
      <w:i/>
      <w:iCs/>
      <w:sz w:val="22"/>
      <w:szCs w:val="22"/>
    </w:rPr>
  </w:style>
  <w:style w:type="character" w:styleId="767" w:customStyle="1">
    <w:name w:val="Heading 8 Char"/>
    <w:uiPriority w:val="9"/>
    <w:qFormat/>
    <w:rPr>
      <w:rFonts w:ascii="Arial" w:hAnsi="Arial" w:eastAsia="Arial" w:cs="Arial"/>
      <w:i/>
      <w:iCs/>
      <w:sz w:val="22"/>
      <w:szCs w:val="22"/>
    </w:rPr>
  </w:style>
  <w:style w:type="character" w:styleId="768" w:customStyle="1">
    <w:name w:val="Heading 9 Char"/>
    <w:uiPriority w:val="9"/>
    <w:qFormat/>
    <w:rPr>
      <w:rFonts w:ascii="Arial" w:hAnsi="Arial" w:eastAsia="Arial" w:cs="Arial"/>
      <w:i/>
      <w:iCs/>
      <w:sz w:val="21"/>
      <w:szCs w:val="21"/>
    </w:rPr>
  </w:style>
  <w:style w:type="paragraph" w:styleId="769">
    <w:name w:val="List Paragraph"/>
    <w:basedOn w:val="703"/>
    <w:uiPriority w:val="0"/>
    <w:qFormat/>
    <w:pPr>
      <w:contextualSpacing/>
      <w:ind w:left="720"/>
      <w:jc w:val="left"/>
      <w:widowControl/>
    </w:pPr>
    <w:rPr>
      <w:sz w:val="24"/>
      <w:szCs w:val="24"/>
      <w:lang w:eastAsia="en-US" w:bidi="en-US"/>
    </w:rPr>
  </w:style>
  <w:style w:type="paragraph" w:styleId="77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71" w:customStyle="1">
    <w:name w:val="标题 Char"/>
    <w:link w:val="749"/>
    <w:uiPriority w:val="10"/>
    <w:qFormat/>
    <w:rPr>
      <w:sz w:val="48"/>
      <w:szCs w:val="48"/>
    </w:rPr>
  </w:style>
  <w:style w:type="character" w:styleId="772" w:customStyle="1">
    <w:name w:val="副标题 Char"/>
    <w:link w:val="738"/>
    <w:uiPriority w:val="11"/>
    <w:qFormat/>
    <w:rPr>
      <w:sz w:val="24"/>
      <w:szCs w:val="24"/>
    </w:rPr>
  </w:style>
  <w:style w:type="paragraph" w:styleId="773">
    <w:name w:val="Quote"/>
    <w:basedOn w:val="703"/>
    <w:next w:val="703"/>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703"/>
    <w:next w:val="703"/>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character" w:styleId="777" w:customStyle="1">
    <w:name w:val="Header Char"/>
    <w:uiPriority w:val="99"/>
    <w:qFormat/>
  </w:style>
  <w:style w:type="character" w:styleId="778" w:customStyle="1">
    <w:name w:val="Footer Char"/>
    <w:uiPriority w:val="99"/>
    <w:qFormat/>
  </w:style>
  <w:style w:type="character" w:styleId="779" w:customStyle="1">
    <w:name w:val="Caption Char"/>
    <w:uiPriority w:val="99"/>
    <w:qFormat/>
  </w:style>
  <w:style w:type="table" w:styleId="78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3" w:customStyle="1">
    <w:name w:val="Plain Table 3"/>
    <w:uiPriority w:val="99"/>
    <w:qFormat/>
    <w:tblPr>
      <w:tblCellMar>
        <w:left w:w="0" w:type="dxa"/>
        <w:top w:w="0" w:type="dxa"/>
        <w:right w:w="0" w:type="dxa"/>
        <w:bottom w:w="0" w:type="dxa"/>
      </w:tblCellMar>
    </w:tblPr>
  </w:style>
  <w:style w:type="table" w:styleId="784" w:customStyle="1">
    <w:name w:val="Plain Table 4"/>
    <w:uiPriority w:val="99"/>
    <w:qFormat/>
    <w:tblPr>
      <w:tblCellMar>
        <w:left w:w="0" w:type="dxa"/>
        <w:top w:w="0" w:type="dxa"/>
        <w:right w:w="0" w:type="dxa"/>
        <w:bottom w:w="0" w:type="dxa"/>
      </w:tblCellMar>
    </w:tblPr>
  </w:style>
  <w:style w:type="table" w:styleId="785" w:customStyle="1">
    <w:name w:val="Plain Table 5"/>
    <w:uiPriority w:val="99"/>
    <w:qFormat/>
    <w:tblPr>
      <w:tblCellMar>
        <w:left w:w="0" w:type="dxa"/>
        <w:top w:w="0" w:type="dxa"/>
        <w:right w:w="0" w:type="dxa"/>
        <w:bottom w:w="0" w:type="dxa"/>
      </w:tblCellMar>
    </w:tblPr>
  </w:style>
  <w:style w:type="table" w:styleId="78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5" w:customStyle="1">
    <w:name w:val="List Table 1 Light"/>
    <w:uiPriority w:val="99"/>
    <w:qFormat/>
    <w:tblPr>
      <w:tblCellMar>
        <w:left w:w="0" w:type="dxa"/>
        <w:top w:w="0" w:type="dxa"/>
        <w:right w:w="0" w:type="dxa"/>
        <w:bottom w:w="0" w:type="dxa"/>
      </w:tblCellMar>
    </w:tblPr>
  </w:style>
  <w:style w:type="table" w:styleId="836" w:customStyle="1">
    <w:name w:val="List Table 1 Light - Accent 1"/>
    <w:uiPriority w:val="99"/>
    <w:qFormat/>
    <w:tblPr>
      <w:tblCellMar>
        <w:left w:w="0" w:type="dxa"/>
        <w:top w:w="0" w:type="dxa"/>
        <w:right w:w="0" w:type="dxa"/>
        <w:bottom w:w="0" w:type="dxa"/>
      </w:tblCellMar>
    </w:tblPr>
  </w:style>
  <w:style w:type="table" w:styleId="837" w:customStyle="1">
    <w:name w:val="List Table 1 Light - Accent 2"/>
    <w:uiPriority w:val="99"/>
    <w:qFormat/>
    <w:tblPr>
      <w:tblCellMar>
        <w:left w:w="0" w:type="dxa"/>
        <w:top w:w="0" w:type="dxa"/>
        <w:right w:w="0" w:type="dxa"/>
        <w:bottom w:w="0" w:type="dxa"/>
      </w:tblCellMar>
    </w:tblPr>
  </w:style>
  <w:style w:type="table" w:styleId="838" w:customStyle="1">
    <w:name w:val="List Table 1 Light - Accent 3"/>
    <w:uiPriority w:val="99"/>
    <w:qFormat/>
    <w:tblPr>
      <w:tblCellMar>
        <w:left w:w="0" w:type="dxa"/>
        <w:top w:w="0" w:type="dxa"/>
        <w:right w:w="0" w:type="dxa"/>
        <w:bottom w:w="0" w:type="dxa"/>
      </w:tblCellMar>
    </w:tblPr>
  </w:style>
  <w:style w:type="table" w:styleId="839" w:customStyle="1">
    <w:name w:val="List Table 1 Light - Accent 4"/>
    <w:uiPriority w:val="99"/>
    <w:qFormat/>
    <w:tblPr>
      <w:tblCellMar>
        <w:left w:w="0" w:type="dxa"/>
        <w:top w:w="0" w:type="dxa"/>
        <w:right w:w="0" w:type="dxa"/>
        <w:bottom w:w="0" w:type="dxa"/>
      </w:tblCellMar>
    </w:tblPr>
  </w:style>
  <w:style w:type="table" w:styleId="840" w:customStyle="1">
    <w:name w:val="List Table 1 Light - Accent 5"/>
    <w:uiPriority w:val="99"/>
    <w:qFormat/>
    <w:tblPr>
      <w:tblCellMar>
        <w:left w:w="0" w:type="dxa"/>
        <w:top w:w="0" w:type="dxa"/>
        <w:right w:w="0" w:type="dxa"/>
        <w:bottom w:w="0" w:type="dxa"/>
      </w:tblCellMar>
    </w:tblPr>
  </w:style>
  <w:style w:type="table" w:styleId="841" w:customStyle="1">
    <w:name w:val="List Table 1 Light - Accent 6"/>
    <w:uiPriority w:val="99"/>
    <w:qFormat/>
    <w:tblPr>
      <w:tblCellMar>
        <w:left w:w="0" w:type="dxa"/>
        <w:top w:w="0" w:type="dxa"/>
        <w:right w:w="0" w:type="dxa"/>
        <w:bottom w:w="0" w:type="dxa"/>
      </w:tblCellMar>
    </w:tblPr>
  </w:style>
  <w:style w:type="table" w:styleId="84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7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4" w:customStyle="1">
    <w:name w:val="Lined - Accent"/>
    <w:uiPriority w:val="99"/>
    <w:qFormat/>
    <w:rPr>
      <w:color w:val="404040"/>
    </w:rPr>
    <w:tblPr>
      <w:tblCellMar>
        <w:left w:w="0" w:type="dxa"/>
        <w:top w:w="0" w:type="dxa"/>
        <w:right w:w="0" w:type="dxa"/>
        <w:bottom w:w="0" w:type="dxa"/>
      </w:tblCellMar>
    </w:tblPr>
  </w:style>
  <w:style w:type="table" w:styleId="885" w:customStyle="1">
    <w:name w:val="Lined - Accent 1"/>
    <w:uiPriority w:val="99"/>
    <w:qFormat/>
    <w:rPr>
      <w:color w:val="404040"/>
    </w:rPr>
    <w:tblPr>
      <w:tblCellMar>
        <w:left w:w="0" w:type="dxa"/>
        <w:top w:w="0" w:type="dxa"/>
        <w:right w:w="0" w:type="dxa"/>
        <w:bottom w:w="0" w:type="dxa"/>
      </w:tblCellMar>
    </w:tblPr>
  </w:style>
  <w:style w:type="table" w:styleId="886" w:customStyle="1">
    <w:name w:val="Lined - Accent 2"/>
    <w:uiPriority w:val="99"/>
    <w:qFormat/>
    <w:rPr>
      <w:color w:val="404040"/>
    </w:rPr>
    <w:tblPr>
      <w:tblCellMar>
        <w:left w:w="0" w:type="dxa"/>
        <w:top w:w="0" w:type="dxa"/>
        <w:right w:w="0" w:type="dxa"/>
        <w:bottom w:w="0" w:type="dxa"/>
      </w:tblCellMar>
    </w:tblPr>
  </w:style>
  <w:style w:type="table" w:styleId="887" w:customStyle="1">
    <w:name w:val="Lined - Accent 3"/>
    <w:uiPriority w:val="99"/>
    <w:qFormat/>
    <w:rPr>
      <w:color w:val="404040"/>
    </w:rPr>
    <w:tblPr>
      <w:tblCellMar>
        <w:left w:w="0" w:type="dxa"/>
        <w:top w:w="0" w:type="dxa"/>
        <w:right w:w="0" w:type="dxa"/>
        <w:bottom w:w="0" w:type="dxa"/>
      </w:tblCellMar>
    </w:tblPr>
  </w:style>
  <w:style w:type="table" w:styleId="888" w:customStyle="1">
    <w:name w:val="Lined - Accent 4"/>
    <w:uiPriority w:val="99"/>
    <w:qFormat/>
    <w:rPr>
      <w:color w:val="404040"/>
    </w:rPr>
    <w:tblPr>
      <w:tblCellMar>
        <w:left w:w="0" w:type="dxa"/>
        <w:top w:w="0" w:type="dxa"/>
        <w:right w:w="0" w:type="dxa"/>
        <w:bottom w:w="0" w:type="dxa"/>
      </w:tblCellMar>
    </w:tblPr>
  </w:style>
  <w:style w:type="table" w:styleId="889" w:customStyle="1">
    <w:name w:val="Lined - Accent 5"/>
    <w:uiPriority w:val="99"/>
    <w:qFormat/>
    <w:rPr>
      <w:color w:val="404040"/>
    </w:rPr>
    <w:tblPr>
      <w:tblCellMar>
        <w:left w:w="0" w:type="dxa"/>
        <w:top w:w="0" w:type="dxa"/>
        <w:right w:w="0" w:type="dxa"/>
        <w:bottom w:w="0" w:type="dxa"/>
      </w:tblCellMar>
    </w:tblPr>
  </w:style>
  <w:style w:type="table" w:styleId="890" w:customStyle="1">
    <w:name w:val="Lined - Accent 6"/>
    <w:uiPriority w:val="99"/>
    <w:qFormat/>
    <w:rPr>
      <w:color w:val="404040"/>
    </w:rPr>
    <w:tblPr>
      <w:tblCellMar>
        <w:left w:w="0" w:type="dxa"/>
        <w:top w:w="0" w:type="dxa"/>
        <w:right w:w="0" w:type="dxa"/>
        <w:bottom w:w="0" w:type="dxa"/>
      </w:tblCellMar>
    </w:tblPr>
  </w:style>
  <w:style w:type="table" w:styleId="89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5" w:customStyle="1">
    <w:name w:val="脚注文本 Char"/>
    <w:link w:val="740"/>
    <w:uiPriority w:val="99"/>
    <w:qFormat/>
    <w:rPr>
      <w:sz w:val="18"/>
    </w:rPr>
  </w:style>
  <w:style w:type="character" w:styleId="906" w:customStyle="1">
    <w:name w:val="尾注文本 Char"/>
    <w:link w:val="732"/>
    <w:uiPriority w:val="99"/>
    <w:qFormat/>
    <w:rPr>
      <w:sz w:val="20"/>
    </w:rPr>
  </w:style>
  <w:style w:type="paragraph" w:styleId="907" w:customStyle="1">
    <w:name w:val="TOC 标题1"/>
    <w:uiPriority w:val="39"/>
    <w:unhideWhenUsed/>
    <w:qFormat/>
    <w:rPr>
      <w:rFonts w:ascii="Calibri" w:hAnsi="Calibri" w:eastAsia="宋体" w:cs="Times New Roman"/>
      <w:lang w:val="en-US" w:eastAsia="zh-CN" w:bidi="ar-SA"/>
    </w:rPr>
  </w:style>
  <w:style w:type="character" w:styleId="908" w:customStyle="1">
    <w:name w:val="正文文本 2 Char"/>
    <w:link w:val="746"/>
    <w:uiPriority w:val="0"/>
    <w:qFormat/>
    <w:rPr>
      <w:rFonts w:ascii="楷体_GB2312" w:hAnsi="Times New Roman" w:eastAsia="楷体_GB2312" w:cs="Times New Roman"/>
      <w:sz w:val="28"/>
      <w:szCs w:val="28"/>
    </w:rPr>
  </w:style>
  <w:style w:type="character" w:styleId="909" w:customStyle="1">
    <w:name w:val="标题 1 Char"/>
    <w:link w:val="704"/>
    <w:uiPriority w:val="0"/>
    <w:qFormat/>
    <w:rPr>
      <w:rFonts w:ascii="楷体_GB2312" w:hAnsi="Times New Roman" w:eastAsia="楷体_GB2312" w:cs="Times New Roman"/>
      <w:sz w:val="28"/>
      <w:szCs w:val="28"/>
    </w:rPr>
  </w:style>
  <w:style w:type="character" w:styleId="910" w:customStyle="1">
    <w:name w:val="标题 2 Char"/>
    <w:link w:val="705"/>
    <w:uiPriority w:val="0"/>
    <w:qFormat/>
    <w:rPr>
      <w:rFonts w:ascii="Arial" w:hAnsi="Arial" w:eastAsia="幼圆" w:cs="Arial"/>
      <w:b/>
      <w:bCs/>
      <w:sz w:val="44"/>
      <w:szCs w:val="44"/>
    </w:rPr>
  </w:style>
  <w:style w:type="character" w:styleId="911" w:customStyle="1">
    <w:name w:val="正文缩进 Char"/>
    <w:link w:val="716"/>
    <w:uiPriority w:val="0"/>
    <w:qFormat/>
    <w:rPr>
      <w:szCs w:val="21"/>
    </w:rPr>
  </w:style>
  <w:style w:type="character" w:styleId="912" w:customStyle="1">
    <w:name w:val="标题 3 Char"/>
    <w:link w:val="706"/>
    <w:uiPriority w:val="0"/>
    <w:qFormat/>
    <w:rPr>
      <w:rFonts w:ascii="Times New Roman" w:hAnsi="Times New Roman" w:eastAsia="宋体" w:cs="Times New Roman"/>
      <w:b/>
      <w:bCs/>
      <w:sz w:val="32"/>
      <w:szCs w:val="32"/>
    </w:rPr>
  </w:style>
  <w:style w:type="character" w:styleId="913" w:customStyle="1">
    <w:name w:val="标题 4 Char"/>
    <w:link w:val="707"/>
    <w:uiPriority w:val="0"/>
    <w:qFormat/>
    <w:rPr>
      <w:rFonts w:ascii="Arial" w:hAnsi="Arial" w:eastAsia="黑体" w:cs="Arial"/>
      <w:b/>
      <w:bCs/>
      <w:sz w:val="28"/>
      <w:szCs w:val="28"/>
    </w:rPr>
  </w:style>
  <w:style w:type="character" w:styleId="914" w:customStyle="1">
    <w:name w:val="标题 5 Char"/>
    <w:link w:val="708"/>
    <w:uiPriority w:val="0"/>
    <w:qFormat/>
    <w:rPr>
      <w:rFonts w:ascii="宋体" w:hAnsi="Times New Roman" w:eastAsia="宋体" w:cs="Times New Roman"/>
      <w:color w:val="000000"/>
      <w:sz w:val="28"/>
      <w:szCs w:val="28"/>
    </w:rPr>
  </w:style>
  <w:style w:type="character" w:styleId="915" w:customStyle="1">
    <w:name w:val="标题 6 Char"/>
    <w:link w:val="709"/>
    <w:uiPriority w:val="0"/>
    <w:qFormat/>
    <w:rPr>
      <w:rFonts w:ascii="Arial" w:hAnsi="Arial" w:eastAsia="黑体" w:cs="Times New Roman"/>
      <w:b/>
      <w:bCs/>
      <w:sz w:val="24"/>
      <w:szCs w:val="24"/>
    </w:rPr>
  </w:style>
  <w:style w:type="character" w:styleId="916" w:customStyle="1">
    <w:name w:val="标题 7 Char"/>
    <w:link w:val="710"/>
    <w:uiPriority w:val="0"/>
    <w:qFormat/>
    <w:rPr>
      <w:rFonts w:ascii="Times New Roman" w:hAnsi="Times New Roman" w:eastAsia="宋体" w:cs="Times New Roman"/>
      <w:b/>
      <w:bCs/>
      <w:sz w:val="24"/>
      <w:szCs w:val="24"/>
    </w:rPr>
  </w:style>
  <w:style w:type="character" w:styleId="917" w:customStyle="1">
    <w:name w:val="标题 8 Char"/>
    <w:link w:val="711"/>
    <w:uiPriority w:val="0"/>
    <w:qFormat/>
    <w:rPr>
      <w:rFonts w:ascii="Arial" w:hAnsi="Arial" w:eastAsia="黑体" w:cs="Times New Roman"/>
      <w:sz w:val="24"/>
      <w:szCs w:val="24"/>
    </w:rPr>
  </w:style>
  <w:style w:type="character" w:styleId="918" w:customStyle="1">
    <w:name w:val="标题 9 Char"/>
    <w:link w:val="712"/>
    <w:uiPriority w:val="0"/>
    <w:qFormat/>
    <w:rPr>
      <w:rFonts w:ascii="Arial" w:hAnsi="Arial" w:eastAsia="黑体" w:cs="Times New Roman"/>
      <w:szCs w:val="21"/>
    </w:rPr>
  </w:style>
  <w:style w:type="character" w:styleId="919" w:customStyle="1">
    <w:name w:val="文档结构图 Char"/>
    <w:link w:val="720"/>
    <w:uiPriority w:val="0"/>
    <w:semiHidden/>
    <w:qFormat/>
    <w:rPr>
      <w:rFonts w:ascii="Times New Roman" w:hAnsi="Times New Roman" w:eastAsia="宋体" w:cs="Times New Roman"/>
      <w:szCs w:val="21"/>
      <w:shd w:val="clear" w:color="auto" w:fill="000080"/>
    </w:rPr>
  </w:style>
  <w:style w:type="character" w:styleId="920" w:customStyle="1">
    <w:name w:val="批注文字 Char"/>
    <w:basedOn w:val="713"/>
    <w:link w:val="721"/>
    <w:uiPriority w:val="99"/>
    <w:semiHidden/>
    <w:qFormat/>
  </w:style>
  <w:style w:type="character" w:styleId="921" w:customStyle="1">
    <w:name w:val="正文文本 3 Char"/>
    <w:link w:val="722"/>
    <w:uiPriority w:val="0"/>
    <w:qFormat/>
    <w:rPr>
      <w:rFonts w:ascii="仿宋_GB2312" w:hAnsi="Arial" w:eastAsia="仿宋_GB2312" w:cs="Times New Roman"/>
      <w:sz w:val="32"/>
      <w:szCs w:val="32"/>
    </w:rPr>
  </w:style>
  <w:style w:type="character" w:styleId="922" w:customStyle="1">
    <w:name w:val="正文文本 Char"/>
    <w:link w:val="715"/>
    <w:uiPriority w:val="0"/>
    <w:qFormat/>
    <w:rPr>
      <w:rFonts w:ascii="楷体_GB2312" w:hAnsi="Arial" w:eastAsia="楷体_GB2312" w:cs="Times New Roman"/>
      <w:sz w:val="28"/>
      <w:szCs w:val="28"/>
    </w:rPr>
  </w:style>
  <w:style w:type="character" w:styleId="923" w:customStyle="1">
    <w:name w:val="正文文本缩进 Char"/>
    <w:basedOn w:val="713"/>
    <w:link w:val="723"/>
    <w:uiPriority w:val="99"/>
    <w:semiHidden/>
    <w:qFormat/>
  </w:style>
  <w:style w:type="character" w:styleId="924" w:customStyle="1">
    <w:name w:val="纯文本 Char"/>
    <w:link w:val="728"/>
    <w:uiPriority w:val="0"/>
    <w:qFormat/>
    <w:rPr>
      <w:rFonts w:ascii="宋体" w:hAnsi="Courier New" w:eastAsia="宋体" w:cs="Courier New"/>
      <w:szCs w:val="21"/>
    </w:rPr>
  </w:style>
  <w:style w:type="character" w:styleId="925" w:customStyle="1">
    <w:name w:val="日期 Char"/>
    <w:link w:val="730"/>
    <w:uiPriority w:val="0"/>
    <w:qFormat/>
    <w:rPr>
      <w:rFonts w:ascii="Times New Roman" w:hAnsi="Times New Roman" w:eastAsia="宋体" w:cs="Times New Roman"/>
      <w:sz w:val="24"/>
      <w:szCs w:val="24"/>
    </w:rPr>
  </w:style>
  <w:style w:type="character" w:styleId="926" w:customStyle="1">
    <w:name w:val="正文文本缩进 2 Char"/>
    <w:link w:val="731"/>
    <w:uiPriority w:val="0"/>
    <w:qFormat/>
    <w:rPr>
      <w:rFonts w:ascii="Arial" w:hAnsi="Arial" w:eastAsia="仿宋_GB2312" w:cs="Arial"/>
      <w:sz w:val="32"/>
      <w:szCs w:val="32"/>
    </w:rPr>
  </w:style>
  <w:style w:type="character" w:styleId="927" w:customStyle="1">
    <w:name w:val="批注框文本 Char"/>
    <w:link w:val="733"/>
    <w:uiPriority w:val="0"/>
    <w:semiHidden/>
    <w:qFormat/>
    <w:rPr>
      <w:rFonts w:ascii="Times New Roman" w:hAnsi="Times New Roman" w:eastAsia="宋体" w:cs="Times New Roman"/>
      <w:sz w:val="18"/>
      <w:szCs w:val="18"/>
    </w:rPr>
  </w:style>
  <w:style w:type="character" w:styleId="928" w:customStyle="1">
    <w:name w:val="页脚 Char"/>
    <w:link w:val="734"/>
    <w:uiPriority w:val="0"/>
    <w:qFormat/>
    <w:rPr>
      <w:rFonts w:ascii="Times New Roman" w:hAnsi="Times New Roman" w:eastAsia="宋体" w:cs="Times New Roman"/>
      <w:sz w:val="18"/>
      <w:szCs w:val="18"/>
    </w:rPr>
  </w:style>
  <w:style w:type="character" w:styleId="929" w:customStyle="1">
    <w:name w:val="页眉 Char"/>
    <w:link w:val="735"/>
    <w:uiPriority w:val="0"/>
    <w:qFormat/>
    <w:rPr>
      <w:rFonts w:ascii="Times New Roman" w:hAnsi="Times New Roman" w:eastAsia="宋体" w:cs="Times New Roman"/>
      <w:sz w:val="18"/>
      <w:szCs w:val="18"/>
    </w:rPr>
  </w:style>
  <w:style w:type="character" w:styleId="930" w:customStyle="1">
    <w:name w:val="正文文本缩进 3 Char"/>
    <w:link w:val="742"/>
    <w:uiPriority w:val="0"/>
    <w:qFormat/>
    <w:rPr>
      <w:rFonts w:ascii="Arial" w:hAnsi="Arial" w:eastAsia="仿宋_GB2312" w:cs="Arial"/>
      <w:color w:val="ffff00"/>
      <w:sz w:val="32"/>
      <w:szCs w:val="32"/>
    </w:rPr>
  </w:style>
  <w:style w:type="character" w:styleId="931" w:customStyle="1">
    <w:name w:val="批注主题 Char"/>
    <w:link w:val="750"/>
    <w:uiPriority w:val="0"/>
    <w:semiHidden/>
    <w:qFormat/>
    <w:rPr>
      <w:rFonts w:ascii="Times New Roman" w:hAnsi="Times New Roman" w:eastAsia="宋体" w:cs="Times New Roman"/>
      <w:b/>
      <w:bCs/>
      <w:szCs w:val="21"/>
    </w:rPr>
  </w:style>
  <w:style w:type="character" w:styleId="932" w:customStyle="1">
    <w:name w:val="正文首行缩进 Char"/>
    <w:link w:val="751"/>
    <w:uiPriority w:val="0"/>
    <w:qFormat/>
    <w:rPr>
      <w:rFonts w:ascii="仿宋_GB2312" w:hAnsi="Times New Roman" w:eastAsia="仿宋_GB2312" w:cs="Times New Roman"/>
      <w:sz w:val="30"/>
      <w:szCs w:val="30"/>
    </w:rPr>
  </w:style>
  <w:style w:type="character" w:styleId="933" w:customStyle="1">
    <w:name w:val="正文首行缩进 2 Char"/>
    <w:link w:val="752"/>
    <w:uiPriority w:val="0"/>
    <w:qFormat/>
    <w:rPr>
      <w:rFonts w:ascii="宋体" w:hAnsi="宋体" w:eastAsia="宋体" w:cs="Times New Roman"/>
      <w:szCs w:val="20"/>
    </w:rPr>
  </w:style>
  <w:style w:type="character" w:styleId="934" w:customStyle="1">
    <w:name w:val="已访问的超链接1"/>
    <w:uiPriority w:val="0"/>
    <w:qFormat/>
    <w:rPr>
      <w:color w:val="800080"/>
      <w:u w:val="single"/>
    </w:rPr>
  </w:style>
  <w:style w:type="character" w:styleId="935" w:customStyle="1">
    <w:name w:val="二级目录 Char"/>
    <w:link w:val="936"/>
    <w:uiPriority w:val="0"/>
    <w:qFormat/>
    <w:rPr>
      <w:b/>
      <w:sz w:val="30"/>
      <w:szCs w:val="28"/>
    </w:rPr>
  </w:style>
  <w:style w:type="paragraph" w:styleId="936" w:customStyle="1">
    <w:name w:val="二级目录"/>
    <w:next w:val="703"/>
    <w:link w:val="935"/>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703"/>
    <w:link w:val="937"/>
    <w:uiPriority w:val="0"/>
    <w:qFormat/>
    <w:pPr>
      <w:contextualSpacing/>
      <w:ind w:left="720"/>
      <w:jc w:val="left"/>
      <w:widowControl/>
    </w:pPr>
    <w:rPr>
      <w:sz w:val="24"/>
      <w:szCs w:val="24"/>
      <w:lang w:eastAsia="en-US" w:bidi="en-US"/>
    </w:rPr>
  </w:style>
  <w:style w:type="character" w:styleId="939" w:customStyle="1">
    <w:name w:val="font5 Char"/>
    <w:uiPriority w:val="0"/>
    <w:qFormat/>
    <w:rPr>
      <w:rFonts w:ascii="宋体" w:hAnsi="宋体" w:eastAsia="宋体"/>
      <w:sz w:val="28"/>
      <w:szCs w:val="28"/>
      <w:lang w:val="en-US" w:eastAsia="zh-CN" w:bidi="ar-SA"/>
    </w:rPr>
  </w:style>
  <w:style w:type="paragraph" w:styleId="940" w:customStyle="1">
    <w:name w:val="Char Char Char Char"/>
    <w:basedOn w:val="720"/>
    <w:uiPriority w:val="0"/>
    <w:qFormat/>
    <w:pPr>
      <w:spacing w:line="360" w:lineRule="auto"/>
    </w:pPr>
    <w:rPr>
      <w:rFonts w:ascii="Tahoma" w:hAnsi="Tahoma"/>
      <w:sz w:val="24"/>
      <w:szCs w:val="24"/>
    </w:rPr>
  </w:style>
  <w:style w:type="paragraph" w:styleId="941" w:customStyle="1">
    <w:name w:val="font5"/>
    <w:basedOn w:val="703"/>
    <w:uiPriority w:val="0"/>
    <w:qFormat/>
    <w:pPr>
      <w:jc w:val="left"/>
      <w:spacing w:before="100" w:beforeAutospacing="1" w:after="100" w:afterAutospacing="1"/>
      <w:widowControl/>
    </w:pPr>
    <w:rPr>
      <w:rFonts w:hint="eastAsia" w:ascii="宋体" w:hAnsi="宋体"/>
      <w:sz w:val="28"/>
      <w:szCs w:val="28"/>
    </w:rPr>
  </w:style>
  <w:style w:type="paragraph" w:styleId="94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43" w:customStyle="1">
    <w:name w:val="xl27"/>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4" w:customStyle="1">
    <w:name w:val="修订1"/>
    <w:uiPriority w:val="99"/>
    <w:semiHidden/>
    <w:qFormat/>
    <w:rPr>
      <w:rFonts w:ascii="Times New Roman" w:hAnsi="Times New Roman" w:eastAsia="宋体" w:cs="Times New Roman"/>
      <w:sz w:val="21"/>
      <w:szCs w:val="21"/>
      <w:lang w:val="en-US" w:eastAsia="zh-CN" w:bidi="ar-SA"/>
    </w:rPr>
  </w:style>
  <w:style w:type="paragraph" w:styleId="945" w:customStyle="1">
    <w:name w:val="Body Text(ch)"/>
    <w:basedOn w:val="703"/>
    <w:next w:val="715"/>
    <w:uiPriority w:val="0"/>
    <w:qFormat/>
    <w:pPr>
      <w:spacing w:after="120"/>
    </w:pPr>
    <w:rPr>
      <w:rFonts w:ascii="宋体" w:hAnsi="Arial"/>
      <w:bCs/>
      <w:iCs/>
      <w:szCs w:val="24"/>
    </w:rPr>
  </w:style>
  <w:style w:type="paragraph" w:styleId="946" w:customStyle="1">
    <w:name w:val="xl30"/>
    <w:basedOn w:val="703"/>
    <w:uiPriority w:val="0"/>
    <w:qFormat/>
    <w:pPr>
      <w:jc w:val="center"/>
      <w:spacing w:before="100" w:beforeAutospacing="1" w:after="100" w:afterAutospacing="1"/>
      <w:widowControl/>
    </w:pPr>
    <w:rPr>
      <w:rFonts w:ascii="宋体" w:hAnsi="宋体"/>
      <w:b/>
      <w:bCs/>
      <w:sz w:val="36"/>
      <w:szCs w:val="36"/>
    </w:rPr>
  </w:style>
  <w:style w:type="paragraph" w:styleId="947" w:customStyle="1">
    <w:name w:val="图标"/>
    <w:basedOn w:val="703"/>
    <w:next w:val="70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48" w:customStyle="1">
    <w:name w:val="普通 (Web)"/>
    <w:basedOn w:val="703"/>
    <w:uiPriority w:val="0"/>
    <w:qFormat/>
    <w:pPr>
      <w:jc w:val="left"/>
      <w:spacing w:before="100" w:beforeAutospacing="1" w:after="100" w:afterAutospacing="1"/>
      <w:widowControl/>
    </w:pPr>
    <w:rPr>
      <w:rFonts w:ascii="宋体" w:hAnsi="宋体"/>
      <w:sz w:val="24"/>
      <w:szCs w:val="24"/>
    </w:rPr>
  </w:style>
  <w:style w:type="paragraph" w:styleId="949" w:customStyle="1">
    <w:name w:val="font6"/>
    <w:basedOn w:val="703"/>
    <w:uiPriority w:val="0"/>
    <w:qFormat/>
    <w:pPr>
      <w:jc w:val="left"/>
      <w:spacing w:before="100" w:beforeAutospacing="1" w:after="100" w:afterAutospacing="1"/>
      <w:widowControl/>
    </w:pPr>
    <w:rPr>
      <w:rFonts w:hint="eastAsia" w:ascii="宋体" w:hAnsi="宋体"/>
      <w:sz w:val="28"/>
      <w:szCs w:val="28"/>
      <w:u w:val="single"/>
    </w:rPr>
  </w:style>
  <w:style w:type="paragraph" w:styleId="950" w:customStyle="1">
    <w:name w:val="Char Char Char Char Char Char Char Char Char Char"/>
    <w:basedOn w:val="703"/>
    <w:uiPriority w:val="0"/>
    <w:qFormat/>
    <w:pPr>
      <w:spacing w:line="360" w:lineRule="auto"/>
    </w:pPr>
    <w:rPr>
      <w:rFonts w:ascii="Times New Roman" w:hAnsi="Times New Roman"/>
      <w:sz w:val="24"/>
      <w:szCs w:val="20"/>
    </w:rPr>
  </w:style>
  <w:style w:type="paragraph" w:styleId="951" w:customStyle="1">
    <w:name w:val="4"/>
    <w:basedOn w:val="703"/>
    <w:next w:val="742"/>
    <w:uiPriority w:val="0"/>
    <w:qFormat/>
    <w:pPr>
      <w:ind w:firstLine="420"/>
      <w:spacing w:line="360" w:lineRule="auto"/>
    </w:pPr>
    <w:rPr>
      <w:rFonts w:ascii="Times New Roman" w:hAnsi="Times New Roman"/>
      <w:color w:val="ff0000"/>
      <w:sz w:val="24"/>
      <w:szCs w:val="24"/>
    </w:rPr>
  </w:style>
  <w:style w:type="paragraph" w:styleId="952" w:customStyle="1">
    <w:name w:val="xl29"/>
    <w:basedOn w:val="70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3" w:customStyle="1">
    <w:name w:val="普通正文"/>
    <w:basedOn w:val="703"/>
    <w:uiPriority w:val="0"/>
    <w:qFormat/>
    <w:pPr>
      <w:ind w:firstLine="480"/>
      <w:jc w:val="left"/>
      <w:spacing w:before="120" w:after="120" w:line="360" w:lineRule="auto"/>
    </w:pPr>
    <w:rPr>
      <w:rFonts w:ascii="Arial" w:hAnsi="Arial"/>
      <w:sz w:val="24"/>
      <w:szCs w:val="24"/>
    </w:rPr>
  </w:style>
  <w:style w:type="paragraph" w:styleId="954" w:customStyle="1">
    <w:name w:val="table_lines"/>
    <w:basedOn w:val="703"/>
    <w:uiPriority w:val="0"/>
    <w:qFormat/>
    <w:pPr>
      <w:jc w:val="left"/>
      <w:widowControl/>
    </w:pPr>
    <w:rPr>
      <w:rFonts w:ascii="Times New Roman" w:hAnsi="Times New Roman"/>
      <w:sz w:val="20"/>
      <w:szCs w:val="20"/>
      <w:lang w:val="de-DE" w:eastAsia="de-DE"/>
    </w:rPr>
  </w:style>
  <w:style w:type="paragraph" w:styleId="955" w:customStyle="1">
    <w:name w:val="xl26"/>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customStyle="1">
    <w:name w:val="font7"/>
    <w:basedOn w:val="703"/>
    <w:uiPriority w:val="0"/>
    <w:qFormat/>
    <w:pPr>
      <w:jc w:val="left"/>
      <w:spacing w:before="100" w:beforeAutospacing="1" w:after="100" w:afterAutospacing="1"/>
      <w:widowControl/>
    </w:pPr>
    <w:rPr>
      <w:rFonts w:hint="eastAsia" w:ascii="宋体" w:hAnsi="宋体"/>
      <w:sz w:val="18"/>
      <w:szCs w:val="18"/>
    </w:rPr>
  </w:style>
  <w:style w:type="paragraph" w:styleId="957" w:customStyle="1">
    <w:name w:val="Char"/>
    <w:basedOn w:val="720"/>
    <w:uiPriority w:val="0"/>
    <w:qFormat/>
    <w:rPr>
      <w:rFonts w:ascii="Tahoma" w:hAnsi="Tahoma"/>
      <w:sz w:val="24"/>
      <w:szCs w:val="24"/>
    </w:rPr>
  </w:style>
  <w:style w:type="paragraph" w:styleId="958" w:customStyle="1">
    <w:name w:val="xl25"/>
    <w:basedOn w:val="70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customStyle="1">
    <w:name w:val="Char1"/>
    <w:basedOn w:val="703"/>
    <w:uiPriority w:val="0"/>
    <w:qFormat/>
    <w:pPr>
      <w:ind w:firstLine="200"/>
      <w:tabs>
        <w:tab w:val="left" w:pos="360" w:leader="none"/>
      </w:tabs>
    </w:pPr>
    <w:rPr>
      <w:rFonts w:ascii="Times New Roman" w:hAnsi="Times New Roman"/>
      <w:sz w:val="28"/>
      <w:szCs w:val="30"/>
    </w:rPr>
  </w:style>
  <w:style w:type="paragraph" w:styleId="960" w:customStyle="1">
    <w:name w:val="table_1stline"/>
    <w:basedOn w:val="703"/>
    <w:uiPriority w:val="0"/>
    <w:qFormat/>
    <w:pPr>
      <w:jc w:val="left"/>
      <w:spacing w:before="120"/>
      <w:widowControl/>
    </w:pPr>
    <w:rPr>
      <w:rFonts w:ascii="Times New Roman" w:hAnsi="Times New Roman"/>
      <w:bCs/>
      <w:sz w:val="20"/>
      <w:szCs w:val="20"/>
      <w:lang w:val="de-DE" w:eastAsia="de-DE"/>
    </w:rPr>
  </w:style>
  <w:style w:type="paragraph" w:styleId="961" w:customStyle="1">
    <w:name w:val="Char Char Char Char Char Char Char Char"/>
    <w:basedOn w:val="703"/>
    <w:uiPriority w:val="0"/>
    <w:qFormat/>
    <w:pPr>
      <w:jc w:val="left"/>
      <w:spacing w:after="160" w:line="240" w:lineRule="exact"/>
      <w:widowControl/>
    </w:pPr>
    <w:rPr>
      <w:rFonts w:ascii="Verdana" w:hAnsi="Verdana"/>
      <w:sz w:val="20"/>
      <w:szCs w:val="20"/>
      <w:lang w:eastAsia="en-US"/>
    </w:rPr>
  </w:style>
  <w:style w:type="paragraph" w:styleId="962" w:customStyle="1">
    <w:name w:val="标题1"/>
    <w:basedOn w:val="703"/>
    <w:next w:val="70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63" w:customStyle="1">
    <w:name w:val="样式1"/>
    <w:basedOn w:val="703"/>
    <w:uiPriority w:val="0"/>
    <w:qFormat/>
    <w:pPr>
      <w:numPr>
        <w:ilvl w:val="0"/>
        <w:numId w:val="3"/>
      </w:numPr>
    </w:pPr>
    <w:rPr>
      <w:rFonts w:ascii="宋体" w:hAnsi="宋体"/>
      <w:szCs w:val="21"/>
    </w:rPr>
  </w:style>
  <w:style w:type="paragraph" w:styleId="964" w:customStyle="1">
    <w:name w:val="标题3"/>
    <w:basedOn w:val="703"/>
    <w:next w:val="703"/>
    <w:uiPriority w:val="0"/>
    <w:qFormat/>
    <w:pPr>
      <w:ind w:firstLine="624"/>
      <w:spacing w:line="590" w:lineRule="atLeast"/>
    </w:pPr>
    <w:rPr>
      <w:rFonts w:ascii="方正黑体_GBK" w:hAnsi="Times New Roman" w:eastAsia="方正黑体_GBK"/>
      <w:sz w:val="32"/>
      <w:szCs w:val="32"/>
    </w:rPr>
  </w:style>
  <w:style w:type="paragraph" w:styleId="965" w:customStyle="1">
    <w:name w:val="xl24"/>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8"/>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7" w:customStyle="1">
    <w:name w:val="Char Char Char Char Char Char Char Char1"/>
    <w:basedOn w:val="703"/>
    <w:uiPriority w:val="0"/>
    <w:qFormat/>
    <w:pPr>
      <w:jc w:val="left"/>
      <w:spacing w:after="160" w:line="240" w:lineRule="exact"/>
      <w:widowControl/>
    </w:pPr>
    <w:rPr>
      <w:rFonts w:ascii="Verdana" w:hAnsi="Verdana"/>
      <w:sz w:val="20"/>
      <w:szCs w:val="20"/>
      <w:lang w:eastAsia="en-US"/>
    </w:rPr>
  </w:style>
  <w:style w:type="paragraph" w:styleId="968" w:customStyle="1">
    <w:name w:val="Char Char Char Char1"/>
    <w:basedOn w:val="720"/>
    <w:uiPriority w:val="0"/>
    <w:qFormat/>
    <w:pPr>
      <w:spacing w:line="360" w:lineRule="auto"/>
    </w:pPr>
    <w:rPr>
      <w:rFonts w:ascii="Tahoma" w:hAnsi="Tahoma"/>
      <w:sz w:val="24"/>
      <w:szCs w:val="24"/>
    </w:rPr>
  </w:style>
  <w:style w:type="character" w:styleId="969" w:customStyle="1">
    <w:name w:val="font31"/>
    <w:uiPriority w:val="0"/>
    <w:qFormat/>
    <w:rPr>
      <w:rFonts w:ascii="Calibri" w:hAnsi="Calibri" w:cs="Calibri"/>
      <w:color w:val="000000"/>
      <w:sz w:val="21"/>
      <w:szCs w:val="21"/>
      <w:u w:val="none"/>
    </w:rPr>
  </w:style>
  <w:style w:type="character" w:styleId="970" w:customStyle="1">
    <w:name w:val="font11"/>
    <w:uiPriority w:val="0"/>
    <w:qFormat/>
    <w:rPr>
      <w:rFonts w:hint="eastAsia" w:ascii="宋体" w:hAnsi="宋体" w:eastAsia="宋体" w:cs="宋体"/>
      <w:color w:val="000000"/>
      <w:sz w:val="24"/>
      <w:szCs w:val="24"/>
      <w:u w:val="none"/>
    </w:rPr>
  </w:style>
  <w:style w:type="character" w:styleId="971" w:customStyle="1">
    <w:name w:val="font21"/>
    <w:uiPriority w:val="0"/>
    <w:qFormat/>
    <w:rPr>
      <w:rFonts w:hint="default" w:ascii="Calibri" w:hAnsi="Calibri" w:cs="Calibri"/>
      <w:color w:val="000000"/>
      <w:sz w:val="24"/>
      <w:szCs w:val="24"/>
      <w:u w:val="none"/>
    </w:rPr>
  </w:style>
  <w:style w:type="character" w:styleId="972" w:customStyle="1">
    <w:name w:val="font41"/>
    <w:uiPriority w:val="0"/>
    <w:qFormat/>
    <w:rPr>
      <w:rFonts w:hint="default" w:ascii="Calibri" w:hAnsi="Calibri" w:cs="Calibri"/>
      <w:color w:val="333333"/>
      <w:sz w:val="24"/>
      <w:szCs w:val="24"/>
      <w:u w:val="none"/>
    </w:rPr>
  </w:style>
  <w:style w:type="paragraph" w:styleId="973" w:customStyle="1">
    <w:name w:val="正文_2_0"/>
    <w:uiPriority w:val="0"/>
    <w:qFormat/>
    <w:pPr>
      <w:jc w:val="both"/>
      <w:widowControl w:val="off"/>
    </w:pPr>
    <w:rPr>
      <w:rFonts w:ascii="Calibri" w:hAnsi="Calibri" w:eastAsia="宋体" w:cs="Times New Roman"/>
      <w:lang w:val="en-US" w:eastAsia="zh-CN" w:bidi="ar-SA"/>
    </w:rPr>
  </w:style>
  <w:style w:type="paragraph" w:styleId="974" w:customStyle="1">
    <w:name w:val="black1"/>
    <w:basedOn w:val="703"/>
    <w:uiPriority w:val="0"/>
    <w:qFormat/>
    <w:pPr>
      <w:jc w:val="left"/>
      <w:spacing w:before="100" w:beforeAutospacing="1" w:after="100" w:afterAutospacing="1"/>
      <w:widowControl/>
    </w:pPr>
    <w:rPr>
      <w:rFonts w:ascii="宋体" w:hAnsi="宋体"/>
      <w:sz w:val="24"/>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任建安</cp:lastModifiedBy>
  <cp:revision>69</cp:revision>
  <dcterms:created xsi:type="dcterms:W3CDTF">2024-05-28T07:20:00Z</dcterms:created>
  <dcterms:modified xsi:type="dcterms:W3CDTF">2025-12-11T01:10:42Z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C8232B190C2A4AFE85D9198AACC30413_12</vt:lpwstr>
  </property>
  <property fmtid="{D5CDD505-2E9C-101B-9397-08002B2CF9AE}" pid="4" name="KSOTemplateDocerSaveRecord">
    <vt:lpwstr>eyJoZGlkIjoiZTc1MmZlODEzMGZmYTRjYTkzN2I1MjIyYmU0NTBmZWMiLCJ1c2VySWQiOiI1NTcxNjA4NzIifQ==</vt:lpwstr>
  </property>
</Properties>
</file>